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9D2" w:rsidRDefault="001A29D2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Filologia germańska UMK</w:t>
      </w:r>
    </w:p>
    <w:p w:rsidR="006A073D" w:rsidRDefault="00BA5A1C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Uwagi do zajęć dydaktycznych 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roku akademickim 20</w:t>
      </w:r>
      <w:r w:rsidR="00676CB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018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3</w:t>
      </w:r>
      <w:r w:rsidR="0012510E" w:rsidRPr="00E51965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</w:t>
      </w:r>
      <w:r w:rsidR="00AD4588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4018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9C283A" w:rsidRPr="009C2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WARUNKIEM UCZESTNICTWA W ZAJĘCIACH JEST UPRZED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>NIA REJESTRACJA W SYSTEMIE USOS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!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 ONA ZAPISYWANIE SIĘ NA ZAJĘCIA ORAZ OTRZYMYWANIE INFORMACJI OD WYKŁADOWCÓW W SPRAWIE ORGANIZACJI ZAJĘĆ ZDALNYCH</w:t>
      </w:r>
      <w:r w:rsidR="00005D0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0D1F" w:rsidRPr="00E90D1F" w:rsidRDefault="00E90D1F" w:rsidP="00E90D1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dydaktyki języka niemieckiego z </w:t>
      </w: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p. mgr </w:t>
      </w:r>
      <w:proofErr w:type="spellStart"/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Strzemeską</w:t>
      </w:r>
      <w:proofErr w:type="spellEnd"/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dla I roku s2 o specjalności nauczycielskiej rozpoczną się wyjątkowo dopiero 11.10. 2023.</w:t>
      </w:r>
    </w:p>
    <w:p w:rsidR="00E90D1F" w:rsidRDefault="00E90D1F" w:rsidP="006A073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22B2" w:rsidRDefault="00EF22B2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7953" w:rsidRDefault="00E51965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5196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 na zajęcia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sem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estru</w:t>
      </w:r>
      <w:r w:rsidR="00AE66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zimowego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- 20</w:t>
      </w:r>
      <w:r w:rsidR="001A29D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1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="000877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0674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4018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</w:p>
    <w:p w:rsidR="00DB130B" w:rsidRPr="00755D4B" w:rsidRDefault="00DB130B" w:rsidP="00DB13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8117" w:type="dxa"/>
        <w:tblLayout w:type="fixed"/>
        <w:tblLook w:val="0000"/>
      </w:tblPr>
      <w:tblGrid>
        <w:gridCol w:w="1422"/>
        <w:gridCol w:w="1177"/>
        <w:gridCol w:w="245"/>
        <w:gridCol w:w="1391"/>
        <w:gridCol w:w="1283"/>
        <w:gridCol w:w="2599"/>
      </w:tblGrid>
      <w:tr w:rsidR="004018C9" w:rsidRPr="00755D4B" w:rsidTr="004018C9">
        <w:trPr>
          <w:gridAfter w:val="4"/>
          <w:wAfter w:w="5518" w:type="dxa"/>
          <w:trHeight w:val="309"/>
        </w:trPr>
        <w:tc>
          <w:tcPr>
            <w:tcW w:w="25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018C9" w:rsidRPr="00755D4B" w:rsidTr="004018C9">
        <w:trPr>
          <w:trHeight w:val="309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rozpoczęcia  rejestracji</w:t>
            </w: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Data zakończenia rejestracji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Godzina rozpoczęcia rejestracji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Godzina </w:t>
            </w:r>
          </w:p>
          <w:p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 xml:space="preserve">zakończenia </w:t>
            </w:r>
          </w:p>
          <w:p w:rsidR="004018C9" w:rsidRPr="00755D4B" w:rsidRDefault="004018C9" w:rsidP="00873012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rejestracji</w:t>
            </w: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C9" w:rsidRPr="00755D4B" w:rsidRDefault="004018C9" w:rsidP="00873012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55D4B">
              <w:rPr>
                <w:rFonts w:ascii="Times New Roman" w:hAnsi="Times New Roman" w:cs="Times New Roman"/>
              </w:rPr>
              <w:t>filologia</w:t>
            </w:r>
          </w:p>
        </w:tc>
      </w:tr>
      <w:tr w:rsidR="004018C9" w:rsidRPr="00E85462" w:rsidTr="004018C9">
        <w:trPr>
          <w:trHeight w:val="945"/>
        </w:trPr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26.09.2023</w:t>
            </w:r>
          </w:p>
          <w:p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25.10.2023</w:t>
            </w: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10.30</w:t>
            </w: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23.59</w:t>
            </w: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  <w:p w:rsidR="004018C9" w:rsidRPr="007E58AE" w:rsidRDefault="004018C9" w:rsidP="007E58AE">
            <w:pPr>
              <w:snapToGrid w:val="0"/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  <w:r w:rsidRPr="007E58AE">
              <w:rPr>
                <w:rFonts w:ascii="Times New Roman" w:hAnsi="Times New Roman" w:cs="Times New Roman"/>
              </w:rPr>
              <w:t>- germańska II i III rok s1 oraz s2</w:t>
            </w:r>
          </w:p>
          <w:p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  <w:color w:val="FF0000"/>
              </w:rPr>
            </w:pPr>
            <w:r w:rsidRPr="007E58AE">
              <w:rPr>
                <w:rFonts w:ascii="Times New Roman" w:hAnsi="Times New Roman" w:cs="Times New Roman"/>
                <w:color w:val="FF0000"/>
              </w:rPr>
              <w:t>(uwaga! - dla I roku</w:t>
            </w:r>
            <w:r>
              <w:rPr>
                <w:rFonts w:ascii="Times New Roman" w:hAnsi="Times New Roman" w:cs="Times New Roman"/>
                <w:color w:val="FF0000"/>
              </w:rPr>
              <w:t xml:space="preserve"> s1 rejestracja rozpocznie się 3.10.2023</w:t>
            </w:r>
            <w:r w:rsidRPr="007E58AE">
              <w:rPr>
                <w:rFonts w:ascii="Times New Roman" w:hAnsi="Times New Roman" w:cs="Times New Roman"/>
                <w:color w:val="FF0000"/>
              </w:rPr>
              <w:t xml:space="preserve"> r. po godz. 18.00) </w:t>
            </w:r>
          </w:p>
          <w:p w:rsidR="004018C9" w:rsidRPr="007E58AE" w:rsidRDefault="004018C9" w:rsidP="007E58AE">
            <w:pPr>
              <w:spacing w:after="0"/>
              <w:ind w:right="-57"/>
              <w:rPr>
                <w:rFonts w:ascii="Times New Roman" w:hAnsi="Times New Roman" w:cs="Times New Roman"/>
              </w:rPr>
            </w:pPr>
          </w:p>
        </w:tc>
      </w:tr>
    </w:tbl>
    <w:p w:rsidR="00AE66AF" w:rsidRPr="00755D4B" w:rsidRDefault="00AE66AF" w:rsidP="00AE66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bdr w:val="single" w:sz="4" w:space="0" w:color="auto"/>
          <w:lang w:eastAsia="pl-PL"/>
        </w:rPr>
      </w:pPr>
    </w:p>
    <w:p w:rsidR="00AE66AF" w:rsidRDefault="00AE66AF" w:rsidP="00505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Na wszystkie zajęcia ustalone zostały limity uwzględniające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liczebność danego rocznika. W przypadku niemożności zapisania się na preferowane zajęcia</w:t>
      </w:r>
      <w:r w:rsidR="008444AA"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najpierw podjąć próbę zamiany z kolegami i koleżankami z roku, w drugiej</w:t>
      </w:r>
      <w:r w:rsidRP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69B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 kontaktować się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2D313E">
        <w:rPr>
          <w:rFonts w:ascii="Times New Roman" w:eastAsia="Times New Roman" w:hAnsi="Times New Roman" w:cs="Times New Roman"/>
          <w:sz w:val="24"/>
          <w:szCs w:val="24"/>
          <w:lang w:eastAsia="pl-PL"/>
        </w:rPr>
        <w:t>koordynatorką</w:t>
      </w:r>
      <w:r w:rsidR="00E854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kierunku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 </w:t>
      </w:r>
      <w:r w:rsidR="0054764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następującej formie:</w:t>
      </w:r>
    </w:p>
    <w:p w:rsidR="00AE66AF" w:rsidRDefault="00AE66A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nazwisko, nr indeksu, kod przedmiotu i grupa, do której chcą być Państwo dopisani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ewentualnie grupa, z której chcą się Państwo przenieść, powód dopisania ponad wyznaczony</w:t>
      </w:r>
      <w:r>
        <w:rPr>
          <w:rFonts w:ascii="Times New Roman" w:eastAsia="Times New Roman" w:hAnsi="Times New Roman" w:cs="Times New Roman"/>
          <w:sz w:val="24"/>
          <w:szCs w:val="24"/>
          <w:bdr w:val="single" w:sz="4" w:space="0" w:color="auto"/>
          <w:lang w:eastAsia="pl-PL"/>
        </w:rPr>
        <w:t xml:space="preserve"> </w:t>
      </w:r>
      <w:r w:rsidRPr="00BA5A1C">
        <w:rPr>
          <w:rFonts w:ascii="Times New Roman" w:eastAsia="Times New Roman" w:hAnsi="Times New Roman" w:cs="Times New Roman"/>
          <w:sz w:val="24"/>
          <w:szCs w:val="24"/>
          <w:lang w:eastAsia="pl-PL"/>
        </w:rPr>
        <w:t>limit.</w:t>
      </w:r>
    </w:p>
    <w:p w:rsidR="00EA29FF" w:rsidRDefault="00EA29FF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2D313E" w:rsidRPr="00AE66AF" w:rsidRDefault="002D313E" w:rsidP="008E2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A29F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Problemy z rejestracją dotyczą często przedmiotów do wyboru (proseminariów, wykładu monograficznego, seminariów przedmiotowych). Proszę się nie martwić, jeżeli nie dostaną Państwo miejsca na te zajęcia w semestrze zimowym, są one oferowane również w semestrze letnim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C7953" w:rsidRDefault="009C7953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 studiów I stopnia           </w:t>
      </w:r>
    </w:p>
    <w:p w:rsidR="00FB68A5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Studentów I roku studiów pierwszego stopnia prosimy o </w:t>
      </w:r>
      <w:r w:rsidRPr="00755D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wstrzymanie się z rejestracją na zajęcia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ogłoszenia wyników testu pozi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omującego, który odbędzie się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C3D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2023</w:t>
      </w:r>
      <w:r w:rsidR="005A7C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spotkania z opiekunem roku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prof. Tomaszem Waszakiem</w:t>
      </w:r>
      <w:r w:rsid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godz. </w:t>
      </w:r>
      <w:r w:rsidR="00873012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E58AE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Collegium </w:t>
      </w:r>
      <w:proofErr w:type="spellStart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Humanisticum</w:t>
      </w:r>
      <w:proofErr w:type="spellEnd"/>
      <w:r w:rsidR="000877AF"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Bojarskiego 1, sala </w:t>
      </w:r>
      <w:r w:rsidR="006A073D" w:rsidRPr="006A07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 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B33E1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25A51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>.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podstawie wyników zostaną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Państwo przydzieleni do 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jednej trzech grup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zajęciowych</w:t>
      </w:r>
      <w:r w:rsid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praktyczną naukę języka niemieckiego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873012" w:rsidRPr="0087301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8730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pozostałych grup zajęciowych</w:t>
      </w:r>
      <w:r w:rsidRPr="00873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zapiszą się Państwo samodzielnie, sprawdzając, czy zajęcia nie kolidują czasowo z praktyczną nauką języka niemieckiego.</w:t>
      </w:r>
    </w:p>
    <w:p w:rsidR="00E23793" w:rsidRDefault="009C795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Studentów dwukierunkowych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prosimy o zgłaszanie ewentualnego pokrywania się zajęć z planem drugiego kierunku na adres opiekuna I roku</w:t>
      </w:r>
      <w:r w:rsidR="00A02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prof. Tomasza Waszaka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877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="00A02C37">
        <w:rPr>
          <w:rFonts w:ascii="Times New Roman" w:eastAsia="Times New Roman" w:hAnsi="Times New Roman" w:cs="Times New Roman"/>
          <w:sz w:val="24"/>
          <w:szCs w:val="24"/>
          <w:lang w:eastAsia="pl-PL"/>
        </w:rPr>
        <w:t>towasz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>@umk.pl</w:t>
      </w:r>
      <w:r w:rsidRPr="00621065">
        <w:rPr>
          <w:rFonts w:ascii="Times New Roman" w:eastAsia="Times New Roman" w:hAnsi="Times New Roman" w:cs="Times New Roman"/>
          <w:sz w:val="24"/>
          <w:szCs w:val="24"/>
          <w:lang w:eastAsia="pl-PL"/>
        </w:rPr>
        <w:t>). Postaramy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 uwzględnić to przy podziale na grupy zajęciowe. </w:t>
      </w: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</w:t>
      </w:r>
    </w:p>
    <w:p w:rsidR="00873012" w:rsidRPr="005F2362" w:rsidRDefault="00873012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zainteresowane nabyciem kwalifikacji nauczycielskich (w toku pięcioletniego kursu obejmującego studia pierwszego i drugiego stopnia</w:t>
      </w:r>
      <w:r w:rsidR="00755D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jednym kierunku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) deklarują to</w:t>
      </w:r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 najszybciej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mejlowo</w:t>
      </w:r>
      <w:proofErr w:type="spellEnd"/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 adresem </w:t>
      </w:r>
      <w:hyperlink r:id="rId7" w:history="1">
        <w:r w:rsidR="00557A2B" w:rsidRPr="003D3D06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557A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5F2362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</w:p>
    <w:p w:rsidR="00AD4588" w:rsidRDefault="00AD4588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Grupy i moduły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 na planie studiów (patrz tabelki poniżej) podzielone są na grupy (I i III). Przedmioty z grupy I realizują wszyscy studenci, zaś przedmioty z grupy III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wybierane są zgodnie z wybranym modułem.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zainteresowani nabyciem kwalifikacji nauczycielskich wybierają zajęcia należące do modułu drugiego</w:t>
      </w:r>
      <w:r w:rsidR="00574647">
        <w:rPr>
          <w:rFonts w:ascii="Times New Roman" w:eastAsia="Times New Roman" w:hAnsi="Times New Roman" w:cs="Times New Roman"/>
          <w:sz w:val="24"/>
          <w:szCs w:val="24"/>
          <w:lang w:eastAsia="pl-PL"/>
        </w:rPr>
        <w:t>, a pomijają moduł pierwszy. Pozostali studenci wybierają moduł pierwszy, a pomijają moduł drugi.</w:t>
      </w:r>
    </w:p>
    <w:p w:rsidR="00EF22B2" w:rsidRDefault="00EF22B2" w:rsidP="00EF22B2">
      <w:pPr>
        <w:spacing w:after="0" w:line="240" w:lineRule="auto"/>
        <w:rPr>
          <w:rFonts w:ascii="Times New Roman" w:hAnsi="Times New Roman"/>
        </w:rPr>
      </w:pPr>
    </w:p>
    <w:p w:rsidR="00894C80" w:rsidRDefault="00894C80" w:rsidP="00EF22B2">
      <w:pPr>
        <w:spacing w:after="0" w:line="240" w:lineRule="auto"/>
        <w:rPr>
          <w:rFonts w:ascii="Times New Roman" w:hAnsi="Times New Roman"/>
        </w:rPr>
      </w:pPr>
    </w:p>
    <w:p w:rsidR="00CB1DF1" w:rsidRPr="00A05287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 semestr</w:t>
      </w:r>
      <w:r>
        <w:rPr>
          <w:rFonts w:ascii="Times New Roman" w:hAnsi="Times New Roman"/>
        </w:rPr>
        <w:t xml:space="preserve"> </w:t>
      </w:r>
    </w:p>
    <w:p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tbl>
      <w:tblPr>
        <w:tblW w:w="1043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1"/>
        <w:gridCol w:w="4279"/>
        <w:gridCol w:w="812"/>
        <w:gridCol w:w="549"/>
        <w:gridCol w:w="549"/>
        <w:gridCol w:w="549"/>
        <w:gridCol w:w="549"/>
        <w:gridCol w:w="549"/>
        <w:gridCol w:w="1155"/>
      </w:tblGrid>
      <w:tr w:rsidR="00A02C37" w:rsidRPr="00A05287" w:rsidTr="00A02C37">
        <w:tc>
          <w:tcPr>
            <w:tcW w:w="1441" w:type="dxa"/>
            <w:vMerge w:val="restart"/>
            <w:shd w:val="clear" w:color="auto" w:fill="auto"/>
            <w:vAlign w:val="center"/>
          </w:tcPr>
          <w:p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Nazwa grupy </w:t>
            </w:r>
            <w:r>
              <w:rPr>
                <w:rFonts w:ascii="Times New Roman" w:hAnsi="Times New Roman"/>
                <w:sz w:val="20"/>
              </w:rPr>
              <w:t>przedmiotów</w:t>
            </w:r>
          </w:p>
        </w:tc>
        <w:tc>
          <w:tcPr>
            <w:tcW w:w="4279" w:type="dxa"/>
            <w:vMerge w:val="restart"/>
            <w:shd w:val="clear" w:color="auto" w:fill="auto"/>
            <w:vAlign w:val="center"/>
          </w:tcPr>
          <w:p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Nazwa przedmiotu</w:t>
            </w:r>
          </w:p>
        </w:tc>
        <w:tc>
          <w:tcPr>
            <w:tcW w:w="812" w:type="dxa"/>
            <w:vMerge w:val="restart"/>
            <w:shd w:val="clear" w:color="auto" w:fill="auto"/>
            <w:vAlign w:val="center"/>
          </w:tcPr>
          <w:p w:rsidR="00A02C37" w:rsidRPr="00B158C5" w:rsidRDefault="00A02C37" w:rsidP="00A02C37">
            <w:pPr>
              <w:spacing w:after="0" w:line="240" w:lineRule="auto"/>
              <w:ind w:left="-146" w:right="-108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>Liczba punktów ECTS</w:t>
            </w:r>
          </w:p>
        </w:tc>
        <w:tc>
          <w:tcPr>
            <w:tcW w:w="2745" w:type="dxa"/>
            <w:gridSpan w:val="5"/>
            <w:shd w:val="clear" w:color="auto" w:fill="auto"/>
            <w:vAlign w:val="center"/>
          </w:tcPr>
          <w:p w:rsidR="00A02C37" w:rsidRPr="00B158C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158C5">
              <w:rPr>
                <w:rFonts w:ascii="Times New Roman" w:hAnsi="Times New Roman"/>
                <w:sz w:val="20"/>
              </w:rPr>
              <w:t xml:space="preserve">Liczba godzin z bezpośrednim udziałem nauczycieli </w:t>
            </w:r>
            <w:r>
              <w:rPr>
                <w:rFonts w:ascii="Times New Roman" w:hAnsi="Times New Roman"/>
                <w:sz w:val="20"/>
              </w:rPr>
              <w:t xml:space="preserve">lub innych osób prowadzących zajęcia </w:t>
            </w:r>
            <w:r w:rsidRPr="00B158C5">
              <w:rPr>
                <w:rFonts w:ascii="Times New Roman" w:hAnsi="Times New Roman"/>
                <w:sz w:val="20"/>
              </w:rPr>
              <w:t>– wg formy zajęć</w:t>
            </w:r>
          </w:p>
        </w:tc>
        <w:tc>
          <w:tcPr>
            <w:tcW w:w="1155" w:type="dxa"/>
            <w:vMerge w:val="restart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87">
              <w:rPr>
                <w:rFonts w:ascii="Times New Roman" w:hAnsi="Times New Roman"/>
                <w:sz w:val="20"/>
                <w:szCs w:val="20"/>
              </w:rPr>
              <w:t>Forma zaliczenia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79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2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9" w:type="dxa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W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Ć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K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L</w:t>
            </w:r>
          </w:p>
        </w:tc>
        <w:tc>
          <w:tcPr>
            <w:tcW w:w="549" w:type="dxa"/>
            <w:shd w:val="clear" w:color="auto" w:fill="auto"/>
            <w:vAlign w:val="center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05287">
              <w:rPr>
                <w:rFonts w:ascii="Times New Roman" w:hAnsi="Times New Roman"/>
              </w:rPr>
              <w:t>S</w:t>
            </w:r>
          </w:p>
        </w:tc>
        <w:tc>
          <w:tcPr>
            <w:tcW w:w="1155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02C37" w:rsidRPr="00A05287" w:rsidTr="00A02C37">
        <w:tc>
          <w:tcPr>
            <w:tcW w:w="1441" w:type="dxa"/>
            <w:vMerge w:val="restart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</w:t>
            </w:r>
          </w:p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Praktyczna nauka języka niemieckiego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 xml:space="preserve">zaliczenie na ocenę </w:t>
            </w:r>
          </w:p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Niemiec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Historia literatury niemieckiego obszaru językowego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D667A9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 xml:space="preserve">Gramatyka opisowa języka niemieckiego </w:t>
            </w:r>
          </w:p>
        </w:tc>
        <w:tc>
          <w:tcPr>
            <w:tcW w:w="812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D2154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D2154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pl-PL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Gramatyka opisowa języka niemieckiego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441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grupa IV </w:t>
            </w:r>
          </w:p>
        </w:tc>
        <w:tc>
          <w:tcPr>
            <w:tcW w:w="4279" w:type="dxa"/>
            <w:shd w:val="clear" w:color="auto" w:fill="auto"/>
          </w:tcPr>
          <w:p w:rsidR="00A02C37" w:rsidRPr="00977D9B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77D9B">
              <w:rPr>
                <w:rFonts w:ascii="Times New Roman" w:hAnsi="Times New Roman"/>
                <w:sz w:val="18"/>
                <w:szCs w:val="18"/>
              </w:rPr>
              <w:t>Łacina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dla filologów</w:t>
            </w:r>
          </w:p>
        </w:tc>
        <w:tc>
          <w:tcPr>
            <w:tcW w:w="812" w:type="dxa"/>
            <w:shd w:val="clear" w:color="auto" w:fill="auto"/>
          </w:tcPr>
          <w:p w:rsidR="00A02C37" w:rsidRPr="00977D9B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7D9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shd w:val="clear" w:color="auto" w:fill="auto"/>
          </w:tcPr>
          <w:p w:rsidR="00A02C37" w:rsidRPr="00605281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cyan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441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Elementy bezpieczeństwa i higieny pracy oraz ergonomii (szkolenie podstawowe)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5287" w:rsidTr="00A02C37">
        <w:tc>
          <w:tcPr>
            <w:tcW w:w="1441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Szkolenie biblioteczne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A02C37" w:rsidRPr="00A02C02" w:rsidTr="00A02C37">
        <w:tc>
          <w:tcPr>
            <w:tcW w:w="10432" w:type="dxa"/>
            <w:gridSpan w:val="9"/>
            <w:shd w:val="clear" w:color="auto" w:fill="auto"/>
          </w:tcPr>
          <w:p w:rsidR="00A02C37" w:rsidRPr="00A02C02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Zajęcia przy wyborze modułu</w:t>
            </w:r>
            <w:r w:rsidRPr="00A02C02">
              <w:rPr>
                <w:rFonts w:ascii="Times New Roman" w:hAnsi="Times New Roman"/>
                <w:sz w:val="18"/>
                <w:szCs w:val="18"/>
              </w:rPr>
              <w:t xml:space="preserve"> 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(ogólnego)</w:t>
            </w:r>
          </w:p>
        </w:tc>
      </w:tr>
      <w:tr w:rsidR="00A02C37" w:rsidRPr="00A05287" w:rsidTr="00A02C37">
        <w:tc>
          <w:tcPr>
            <w:tcW w:w="1441" w:type="dxa"/>
            <w:vMerge w:val="restart"/>
            <w:shd w:val="clear" w:color="auto" w:fill="auto"/>
          </w:tcPr>
          <w:p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</w:p>
          <w:p w:rsidR="00A02C3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E61D4A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Wstęp do literaturoznawstwa</w:t>
            </w:r>
          </w:p>
        </w:tc>
        <w:tc>
          <w:tcPr>
            <w:tcW w:w="812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zaliczenie na ocenę</w:t>
            </w:r>
          </w:p>
        </w:tc>
      </w:tr>
      <w:tr w:rsidR="00A02C37" w:rsidRPr="00A05287" w:rsidTr="00A02C37">
        <w:tc>
          <w:tcPr>
            <w:tcW w:w="10432" w:type="dxa"/>
            <w:gridSpan w:val="9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Zajęcia przy wyborze modułu II (nauczycielskiego)</w:t>
            </w:r>
          </w:p>
        </w:tc>
      </w:tr>
      <w:tr w:rsidR="00A02C37" w:rsidRPr="00D45E95" w:rsidTr="00A02C37">
        <w:tc>
          <w:tcPr>
            <w:tcW w:w="1441" w:type="dxa"/>
            <w:vMerge w:val="restart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grupa II</w:t>
            </w: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Pr="00A0528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7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Proseminarium z lektur</w:t>
            </w:r>
          </w:p>
        </w:tc>
        <w:tc>
          <w:tcPr>
            <w:tcW w:w="812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D45E95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D45E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Pedagogika</w:t>
            </w:r>
          </w:p>
        </w:tc>
        <w:tc>
          <w:tcPr>
            <w:tcW w:w="812" w:type="dxa"/>
            <w:shd w:val="clear" w:color="auto" w:fill="auto"/>
          </w:tcPr>
          <w:p w:rsidR="00A02C37" w:rsidRPr="0084542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4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:rsidTr="00A02C37">
        <w:tc>
          <w:tcPr>
            <w:tcW w:w="1441" w:type="dxa"/>
            <w:vMerge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79" w:type="dxa"/>
            <w:shd w:val="clear" w:color="auto" w:fill="auto"/>
          </w:tcPr>
          <w:p w:rsidR="00A02C37" w:rsidRPr="008D79D9" w:rsidRDefault="00A02C37" w:rsidP="00A02C37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Psychologia</w:t>
            </w:r>
          </w:p>
        </w:tc>
        <w:tc>
          <w:tcPr>
            <w:tcW w:w="812" w:type="dxa"/>
            <w:shd w:val="clear" w:color="auto" w:fill="auto"/>
          </w:tcPr>
          <w:p w:rsidR="00A02C37" w:rsidRPr="0084542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542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05287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A02C37" w:rsidRPr="00A05287" w:rsidTr="00A02C37">
        <w:tc>
          <w:tcPr>
            <w:tcW w:w="5720" w:type="dxa"/>
            <w:gridSpan w:val="2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Razem: 375 godzin przy wyborze modułu I/40</w:t>
            </w:r>
            <w:r w:rsidRPr="00D667A9">
              <w:rPr>
                <w:rFonts w:ascii="Times New Roman" w:hAnsi="Times New Roman"/>
                <w:sz w:val="18"/>
                <w:szCs w:val="18"/>
              </w:rPr>
              <w:t>5 przy wyborze modułu II</w:t>
            </w:r>
          </w:p>
        </w:tc>
        <w:tc>
          <w:tcPr>
            <w:tcW w:w="812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2FD">
              <w:rPr>
                <w:rFonts w:ascii="Times New Roman" w:hAnsi="Times New Roman"/>
              </w:rPr>
              <w:t>30/32</w:t>
            </w:r>
          </w:p>
        </w:tc>
        <w:tc>
          <w:tcPr>
            <w:tcW w:w="549" w:type="dxa"/>
            <w:shd w:val="clear" w:color="auto" w:fill="auto"/>
          </w:tcPr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67A9">
              <w:rPr>
                <w:rFonts w:ascii="Times New Roman" w:hAnsi="Times New Roman"/>
                <w:sz w:val="18"/>
                <w:szCs w:val="18"/>
              </w:rPr>
              <w:t>45/</w:t>
            </w:r>
          </w:p>
          <w:p w:rsidR="00A02C37" w:rsidRPr="00D667A9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105</w:t>
            </w:r>
          </w:p>
        </w:tc>
        <w:tc>
          <w:tcPr>
            <w:tcW w:w="549" w:type="dxa"/>
            <w:shd w:val="clear" w:color="auto" w:fill="auto"/>
          </w:tcPr>
          <w:p w:rsidR="00A02C3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240/</w:t>
            </w:r>
          </w:p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240</w:t>
            </w:r>
          </w:p>
        </w:tc>
        <w:tc>
          <w:tcPr>
            <w:tcW w:w="549" w:type="dxa"/>
            <w:shd w:val="clear" w:color="auto" w:fill="auto"/>
          </w:tcPr>
          <w:p w:rsidR="00A02C3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A05287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A02C37" w:rsidRPr="00A05287" w:rsidRDefault="00A02C37" w:rsidP="00A02C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60</w:t>
            </w: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9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55" w:type="dxa"/>
            <w:shd w:val="clear" w:color="auto" w:fill="auto"/>
          </w:tcPr>
          <w:p w:rsidR="00A02C37" w:rsidRPr="00A05287" w:rsidRDefault="00A02C37" w:rsidP="00A02C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:rsidR="004A7944" w:rsidRDefault="004A7944" w:rsidP="00CB1DF1">
      <w:pPr>
        <w:spacing w:after="0" w:line="240" w:lineRule="auto"/>
        <w:rPr>
          <w:rFonts w:ascii="Times New Roman" w:hAnsi="Times New Roman"/>
        </w:rPr>
      </w:pPr>
    </w:p>
    <w:p w:rsidR="00CB1DF1" w:rsidRDefault="00CB1DF1" w:rsidP="00CB1DF1">
      <w:pPr>
        <w:spacing w:after="0" w:line="240" w:lineRule="auto"/>
        <w:rPr>
          <w:rFonts w:ascii="Times New Roman" w:hAnsi="Times New Roman"/>
        </w:rPr>
      </w:pPr>
      <w:r w:rsidRPr="00A05287">
        <w:rPr>
          <w:rFonts w:ascii="Times New Roman" w:hAnsi="Times New Roman"/>
        </w:rPr>
        <w:t>II semestr</w:t>
      </w:r>
    </w:p>
    <w:p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:rsidR="00A02C37" w:rsidRPr="00A02C37" w:rsidRDefault="00A02C37" w:rsidP="00A02C37">
      <w:pPr>
        <w:spacing w:after="4" w:line="268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tbl>
      <w:tblPr>
        <w:tblStyle w:val="TableGrid"/>
        <w:tblW w:w="10301" w:type="dxa"/>
        <w:tblInd w:w="-660" w:type="dxa"/>
        <w:tblCellMar>
          <w:top w:w="14" w:type="dxa"/>
        </w:tblCellMar>
        <w:tblLook w:val="04A0"/>
      </w:tblPr>
      <w:tblGrid>
        <w:gridCol w:w="1392"/>
        <w:gridCol w:w="2968"/>
        <w:gridCol w:w="1417"/>
        <w:gridCol w:w="804"/>
        <w:gridCol w:w="531"/>
        <w:gridCol w:w="533"/>
        <w:gridCol w:w="526"/>
        <w:gridCol w:w="497"/>
        <w:gridCol w:w="495"/>
        <w:gridCol w:w="1138"/>
      </w:tblGrid>
      <w:tr w:rsidR="00A02C37" w:rsidRPr="00A02C37" w:rsidTr="00A02C37">
        <w:trPr>
          <w:trHeight w:val="955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>Nazwa przedmiotu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37" w:rsidRPr="00A02C37" w:rsidRDefault="00A02C37" w:rsidP="00A02C37">
            <w:pPr>
              <w:spacing w:after="18"/>
              <w:ind w:left="136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:rsidR="00A02C37" w:rsidRPr="00A02C37" w:rsidRDefault="00A02C37" w:rsidP="00A02C37">
            <w:pPr>
              <w:ind w:left="9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37" w:rsidRPr="00A02C37" w:rsidRDefault="00A02C37" w:rsidP="00A02C37">
            <w:pPr>
              <w:spacing w:after="17"/>
              <w:ind w:left="36" w:firstLine="79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line="27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2C37" w:rsidRPr="00A02C37" w:rsidRDefault="00A02C37" w:rsidP="00A02C37">
            <w:pPr>
              <w:ind w:left="-1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ab/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zajęcia – wg formy zajęć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2C37" w:rsidRPr="00A02C37" w:rsidRDefault="00A02C37" w:rsidP="00A02C3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73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W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89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Ć 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7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K 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L 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8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S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02C37" w:rsidRPr="00A02C3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Praktyczna nauka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16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180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Niemiec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2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GOP-W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Gramatyka opisowa języka niemieckiego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4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GOP-C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Historia literatury niemieckiego obszaru językowego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5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HLNOJ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egzamin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ogólnej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37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Proseminarium z lektur 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PROSL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4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Wstęp do językoznawstwa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3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2512-s1GER2L-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WDJ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2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240"/>
        </w:trPr>
        <w:tc>
          <w:tcPr>
            <w:tcW w:w="103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Zajęcia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44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grupa III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Psychologia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46" w:hanging="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2500-s1NA1LPSYCH-W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152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6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4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Psychologia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7"/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2500-s1NA1L-</w:t>
            </w:r>
          </w:p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PSYCH-C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right="4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1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15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49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A02C37" w:rsidRPr="00A02C37" w:rsidTr="00A02C37">
        <w:trPr>
          <w:trHeight w:val="449"/>
        </w:trPr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36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>Razem: 345 godzin przy wyborze specjalności ogólnej/315 przy wyborze specjalności nauczycielskiej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5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</w:rPr>
              <w:t>30/28</w:t>
            </w: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0"/>
              <w:ind w:left="43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45/ </w:t>
            </w:r>
          </w:p>
          <w:p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2"/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210/ </w:t>
            </w:r>
          </w:p>
          <w:p w:rsidR="00A02C37" w:rsidRPr="00A02C37" w:rsidRDefault="00A02C37" w:rsidP="00A02C37">
            <w:pPr>
              <w:ind w:left="134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225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spacing w:after="10"/>
              <w:ind w:left="38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90/ </w:t>
            </w:r>
          </w:p>
          <w:p w:rsidR="00A02C37" w:rsidRPr="00A02C37" w:rsidRDefault="00A02C37" w:rsidP="00A02C37">
            <w:pPr>
              <w:ind w:right="155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30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08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2C37" w:rsidRPr="00A02C37" w:rsidRDefault="00A02C37" w:rsidP="00A02C37">
            <w:pPr>
              <w:ind w:left="110"/>
              <w:rPr>
                <w:rFonts w:ascii="Times New Roman" w:hAnsi="Times New Roman" w:cs="Times New Roman"/>
                <w:color w:val="000000"/>
              </w:rPr>
            </w:pPr>
            <w:r w:rsidRPr="00A02C3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A02C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</w:tbl>
    <w:p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:rsidR="00A02C37" w:rsidRDefault="00A02C37" w:rsidP="00CB1DF1">
      <w:pPr>
        <w:spacing w:after="0" w:line="240" w:lineRule="auto"/>
        <w:rPr>
          <w:rFonts w:ascii="Times New Roman" w:hAnsi="Times New Roman"/>
        </w:rPr>
      </w:pPr>
    </w:p>
    <w:p w:rsidR="00A02C37" w:rsidRPr="00A05287" w:rsidRDefault="00A02C37" w:rsidP="00CB1DF1">
      <w:pPr>
        <w:spacing w:after="0" w:line="240" w:lineRule="auto"/>
        <w:rPr>
          <w:rFonts w:ascii="Times New Roman" w:hAnsi="Times New Roman"/>
        </w:rPr>
      </w:pPr>
    </w:p>
    <w:p w:rsidR="00B94297" w:rsidRDefault="00B94297" w:rsidP="00574647">
      <w:pPr>
        <w:spacing w:after="0" w:line="240" w:lineRule="auto"/>
        <w:rPr>
          <w:rFonts w:ascii="Times New Roman" w:hAnsi="Times New Roman"/>
        </w:rPr>
      </w:pPr>
    </w:p>
    <w:p w:rsidR="00E23793" w:rsidRDefault="00E23793" w:rsidP="0061788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II rok studiów I stopnia wykład z historii literatury </w:t>
      </w:r>
    </w:p>
    <w:p w:rsidR="00E23793" w:rsidRDefault="00E23793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E23793">
        <w:rPr>
          <w:rFonts w:ascii="Times New Roman" w:eastAsia="Times New Roman" w:hAnsi="Times New Roman" w:cs="Times New Roman"/>
          <w:sz w:val="24"/>
          <w:szCs w:val="24"/>
          <w:lang w:eastAsia="pl-PL"/>
        </w:rPr>
        <w:t>Lista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lektur do wykładu z historii literatury 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niemieckiej </w:t>
      </w:r>
      <w:r w:rsidR="00894C80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10713" w:rsidRPr="00894C8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semestrze zimowym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znajduje się na stronie www Katedry Filologii Germańskiej. Proszę wybierać utwory z rubryk oznaczonych kolorem niebieskim.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:rsidR="003F736C" w:rsidRPr="003F736C" w:rsidRDefault="003F736C" w:rsidP="00E237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lektur</w:t>
      </w:r>
      <w:r w:rsidRPr="006357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wykładu z historii literatury niemieckiej w semestrze letnim znajduje się na stronie www Katedry Filologii Germańskiej. Proszę wybierać utwory z rubryk oznaczonych kolorem zielonym. </w:t>
      </w:r>
    </w:p>
    <w:p w:rsidR="00FD68AD" w:rsidRDefault="009C7953" w:rsidP="00FD68A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                 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i III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rok</w:t>
      </w:r>
      <w:r w:rsidR="00914633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studiów I stopnia lektoraty języków obcych nowożytnych</w:t>
      </w:r>
      <w:r w:rsidR="00914633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</w:t>
      </w:r>
    </w:p>
    <w:p w:rsidR="00914633" w:rsidRDefault="00914633" w:rsidP="00E8546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przypadku </w:t>
      </w:r>
      <w:r w:rsidR="00990065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zapisaniu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grup zajęciowych prosimy o kontakt z pracownikie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sekretariatu neofilologii  p. Magdaleną </w:t>
      </w:r>
      <w:proofErr w:type="spellStart"/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Noskiewicz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E66AF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II i III rok studiów I stopnia</w:t>
      </w:r>
      <w:r w:rsidR="00EF22B2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zajęcia do wyboru </w:t>
      </w: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          </w:t>
      </w:r>
    </w:p>
    <w:p w:rsidR="00F31DF7" w:rsidRDefault="00AE66AF" w:rsidP="008767B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proseminaria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zaliczane są na ocenę. Podstawą zaliczenia jest aktywne uczestnictwo w zajęciach oraz - przy części proseminariów - pozytywna ocena z pracy semestralnej. O szczegółowych warunkach zaliczenia prowadzący informuje uczestników zajęć na początku semestru.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 z proseminariów, które Państwo realizują na danym roku studiów, powinno być zaliczone na podstawie pracy semestralnej.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które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lub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pisać pracy semestralnej, deklarują to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 prowadzącej zajęcia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początku semestru. 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osób zaliczających seminarium na podstawie pracy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semestralnej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stanowić maksymalnie połowę całkowitej liczby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uczestników, chyba że osoba prowadząca</w:t>
      </w:r>
      <w:r w:rsidR="008767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8767B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3F736C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 xml:space="preserve">   </w:t>
      </w:r>
    </w:p>
    <w:p w:rsidR="00B94297" w:rsidRPr="00CE63B6" w:rsidRDefault="009C283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- obowiązująca ilość i forma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literaturoznawstwo 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24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(moduł ogólny) lub 1 (moduł nauczycielski)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(niezależnie od modułu)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Jedno z proseminariów do zaliczenia na podstawie pracy semestralnej, </w:t>
      </w:r>
      <w:r w:rsidR="00036ED6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____________________________________________________________________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 III rok: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literaturoznawstwo - 1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kulturoznawstwo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językoznawstwo -    1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Jedno z proseminariów do zaliczenia na podstawie pracy semestralnej, pozostałe bez pracy.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 w:rsidR="0012510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 w:rsidR="00BB1E6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literaturoznawcze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>a w razie zapotrzebowania nawet pięć:</w:t>
      </w:r>
      <w:r w:rsidR="007F5F8C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0877AF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036ED6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7F5F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trzy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letnim), 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kulturoznawcze (</w:t>
      </w:r>
      <w:r w:rsidR="00577AAE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jedno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B173A9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dwa 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semestrze letnim oraz </w:t>
      </w:r>
      <w:r w:rsidR="002F661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 proseminarium językoznawcze w semestrze letnim, wybrane przez Państwa na podstawie ankiety</w:t>
      </w:r>
      <w:r w:rsidR="00050B04" w:rsidRPr="00CE63B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710"/>
      </w:tblGrid>
      <w:tr w:rsidR="00036ED6" w:rsidRPr="008C2AF6" w:rsidTr="00036ED6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36ED6" w:rsidRPr="00ED5C51" w:rsidRDefault="00036ED6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36ED6" w:rsidRPr="00ED5C51" w:rsidRDefault="00036ED6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ED5C51" w:rsidRPr="008C2AF6" w:rsidTr="00036ED6">
        <w:trPr>
          <w:trHeight w:val="40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literaturoznawcze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Pr="00ED5C51" w:rsidRDefault="007F5F8C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Mikołajewska</w:t>
            </w:r>
          </w:p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 w:rsidRPr="00ED5C51">
              <w:rPr>
                <w:rFonts w:ascii="Times New Roman" w:hAnsi="Times New Roman"/>
                <w:szCs w:val="24"/>
              </w:rPr>
              <w:t>prof. UMK Tokarzewska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Pr="00ED5C51" w:rsidRDefault="007F5F8C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Chlewicka</w:t>
            </w:r>
            <w:proofErr w:type="spellEnd"/>
          </w:p>
          <w:p w:rsidR="00ED5C51" w:rsidRDefault="007F5F8C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Podlasiak</w:t>
            </w:r>
          </w:p>
          <w:p w:rsidR="007F5F8C" w:rsidRPr="00ED5C51" w:rsidRDefault="007F5F8C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Szczerbowska-Prusevicius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(w razie za</w:t>
            </w:r>
            <w:r w:rsidR="002F661A">
              <w:rPr>
                <w:rFonts w:ascii="Times New Roman" w:hAnsi="Times New Roman"/>
                <w:szCs w:val="24"/>
              </w:rPr>
              <w:t>potrzebowania na większą ilość z</w:t>
            </w:r>
            <w:r>
              <w:rPr>
                <w:rFonts w:ascii="Times New Roman" w:hAnsi="Times New Roman"/>
                <w:szCs w:val="24"/>
              </w:rPr>
              <w:t>ajęć)</w:t>
            </w:r>
          </w:p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  <w:tr w:rsidR="00ED5C51" w:rsidRPr="008C2AF6" w:rsidTr="00036ED6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t>Proseminaria  kulturoznawcze II/III</w:t>
            </w:r>
          </w:p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Mikołajewska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Chodorowska-Jackiewicz</w:t>
            </w:r>
          </w:p>
          <w:p w:rsidR="002F661A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Burdziej</w:t>
            </w:r>
            <w:proofErr w:type="spellEnd"/>
          </w:p>
        </w:tc>
      </w:tr>
      <w:tr w:rsidR="00ED5C51" w:rsidRPr="008C2AF6" w:rsidTr="00036ED6">
        <w:trPr>
          <w:cantSplit/>
          <w:trHeight w:val="290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ED5C51">
              <w:rPr>
                <w:rFonts w:ascii="Times New Roman" w:hAnsi="Times New Roman"/>
                <w:b/>
                <w:szCs w:val="24"/>
              </w:rPr>
              <w:lastRenderedPageBreak/>
              <w:t>Proseminaria  językoznawcze  III rok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Pr="00ED5C51" w:rsidRDefault="0061594B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2F661A">
              <w:rPr>
                <w:rFonts w:ascii="Times New Roman" w:hAnsi="Times New Roman"/>
                <w:szCs w:val="24"/>
              </w:rPr>
              <w:t>-</w:t>
            </w:r>
            <w:r>
              <w:rPr>
                <w:rFonts w:ascii="Times New Roman" w:hAnsi="Times New Roman"/>
                <w:szCs w:val="24"/>
              </w:rPr>
              <w:t>---------------------</w:t>
            </w:r>
          </w:p>
        </w:tc>
        <w:tc>
          <w:tcPr>
            <w:tcW w:w="2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D5C51" w:rsidRPr="00ED5C51" w:rsidRDefault="002F661A" w:rsidP="00ED5C5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dr Kubicka</w:t>
            </w:r>
          </w:p>
          <w:p w:rsidR="00ED5C51" w:rsidRPr="00ED5C51" w:rsidRDefault="00ED5C51" w:rsidP="00ED5C5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:rsidR="00B94297" w:rsidRDefault="00B9429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WYKŁADY MONOGRAFICZNE II-III ROK (kończą się egzaminem):</w:t>
      </w:r>
    </w:p>
    <w:p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ED6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ogólna</w:t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- 1 wykład monograficzny z literatury-kultury 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036ED6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aficzny z literatury-kultury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:rsidR="00DE5DE8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ficzny z językoznawstwa na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 roku</w:t>
      </w:r>
      <w:r w:rsidR="005A786D"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studiów</w:t>
      </w:r>
    </w:p>
    <w:p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specjalność nauczycielska</w:t>
      </w:r>
    </w:p>
    <w:p w:rsidR="00DE5DE8" w:rsidRDefault="00DE5DE8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E5DE8" w:rsidRPr="005A786D" w:rsidRDefault="00DE5DE8" w:rsidP="00DE5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literatury-kultury na II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III</w:t>
      </w: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studiów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5DE8" w:rsidRDefault="00DE5DE8" w:rsidP="00DE5D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786D">
        <w:rPr>
          <w:rFonts w:ascii="Times New Roman" w:eastAsia="Times New Roman" w:hAnsi="Times New Roman" w:cs="Times New Roman"/>
          <w:sz w:val="24"/>
          <w:szCs w:val="24"/>
          <w:lang w:eastAsia="pl-PL"/>
        </w:rPr>
        <w:t>- 1 wykład monograficzny z językoznawstwa na III roku studiów</w:t>
      </w:r>
    </w:p>
    <w:p w:rsidR="00036ED6" w:rsidRPr="005A786D" w:rsidRDefault="00036ED6" w:rsidP="00C101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ED6" w:rsidRDefault="00036ED6" w:rsidP="00036ED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bieżącym roku akademickim oferujemy wykład monograficzny  z językozn</w:t>
      </w:r>
      <w:r w:rsidR="00452666">
        <w:rPr>
          <w:rFonts w:ascii="Times New Roman" w:eastAsia="Times New Roman" w:hAnsi="Times New Roman" w:cs="Times New Roman"/>
          <w:sz w:val="24"/>
          <w:szCs w:val="24"/>
          <w:lang w:eastAsia="pl-PL"/>
        </w:rPr>
        <w:t>awstwa tylko w semestrze zimowym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dwa wykłady monograficzne z literaturoznawstwa (jeden w semestrze zimowym, jeden w semestrze letnim)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529"/>
      </w:tblGrid>
      <w:tr w:rsidR="000F0BAE" w:rsidRPr="008C2AF6" w:rsidTr="007E58AE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0F0BAE" w:rsidRPr="00F15565" w:rsidRDefault="000F0BAE" w:rsidP="00036ED6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BAE" w:rsidRPr="00F15565" w:rsidRDefault="000F0BAE" w:rsidP="00036ED6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F15565" w:rsidRPr="008C2AF6" w:rsidTr="007E58AE">
        <w:trPr>
          <w:trHeight w:val="499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F15565" w:rsidRPr="00F15565" w:rsidRDefault="00F15565" w:rsidP="00F15565">
            <w:pPr>
              <w:pStyle w:val="Styl"/>
              <w:rPr>
                <w:rFonts w:ascii="Times New Roman" w:hAnsi="Times New Roman"/>
                <w:b/>
                <w:szCs w:val="24"/>
                <w:vertAlign w:val="superscript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>Wykład monograficzny z literat.-kult. II/III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565" w:rsidRPr="00F15565" w:rsidRDefault="00DE5DE8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UMK Tokarzewska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15565" w:rsidRPr="00F15565" w:rsidRDefault="00DE5DE8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UMK Zientara</w:t>
            </w:r>
          </w:p>
        </w:tc>
      </w:tr>
      <w:tr w:rsidR="00F15565" w:rsidRPr="008C2AF6" w:rsidTr="007E58AE">
        <w:trPr>
          <w:trHeight w:val="292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F15565" w:rsidRPr="00F15565" w:rsidRDefault="00F15565" w:rsidP="005A786D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F15565">
              <w:rPr>
                <w:rFonts w:ascii="Times New Roman" w:hAnsi="Times New Roman"/>
                <w:b/>
                <w:szCs w:val="24"/>
              </w:rPr>
              <w:t xml:space="preserve">Wykład monograficzny z językoznawstwa </w:t>
            </w:r>
            <w:r w:rsidRPr="005A786D">
              <w:rPr>
                <w:rFonts w:ascii="Times New Roman" w:hAnsi="Times New Roman"/>
                <w:b/>
                <w:szCs w:val="24"/>
              </w:rPr>
              <w:t>III rok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15565" w:rsidRPr="00F15565" w:rsidRDefault="00F15565" w:rsidP="00F15565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:rsidR="00F15565" w:rsidRPr="00F15565" w:rsidRDefault="0061594B" w:rsidP="0061594B">
            <w:pPr>
              <w:pStyle w:val="Styl"/>
              <w:rPr>
                <w:rFonts w:ascii="Times New Roman" w:hAnsi="Times New Roman"/>
                <w:szCs w:val="24"/>
              </w:rPr>
            </w:pPr>
            <w:r w:rsidRPr="00F15565">
              <w:rPr>
                <w:rFonts w:ascii="Times New Roman" w:hAnsi="Times New Roman"/>
                <w:szCs w:val="24"/>
              </w:rPr>
              <w:t>prof. UMK Zieliński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1594B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</w:r>
            <w:r>
              <w:rPr>
                <w:rFonts w:ascii="Times New Roman" w:hAnsi="Times New Roman"/>
                <w:szCs w:val="24"/>
              </w:rPr>
              <w:softHyphen/>
              <w:t xml:space="preserve">   </w:t>
            </w:r>
          </w:p>
          <w:p w:rsidR="00F15565" w:rsidRPr="00F15565" w:rsidRDefault="0061594B" w:rsidP="00F15565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-------------------</w:t>
            </w:r>
          </w:p>
        </w:tc>
      </w:tr>
    </w:tbl>
    <w:p w:rsidR="00036ED6" w:rsidRPr="009C283A" w:rsidRDefault="00036ED6" w:rsidP="00036ED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85E63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REJESTRACJA NA SEMINARIA LICENCJACKIE </w:t>
      </w:r>
      <w:r w:rsidR="0012510E"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niemożności zapisania się na 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preferowane seminarium w zwią</w:t>
      </w:r>
      <w:r w:rsidR="00881D08">
        <w:rPr>
          <w:rFonts w:ascii="Times New Roman" w:eastAsia="Times New Roman" w:hAnsi="Times New Roman" w:cs="Times New Roman"/>
          <w:sz w:val="24"/>
          <w:szCs w:val="24"/>
          <w:lang w:eastAsia="pl-PL"/>
        </w:rPr>
        <w:t>zku z wypełnieniem limitu prosimy</w:t>
      </w:r>
      <w:r w:rsidR="00AE66AF" w:rsidRP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Katarzyną </w:t>
      </w:r>
      <w:proofErr w:type="spellStart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hyperlink r:id="rId8" w:history="1">
        <w:r w:rsidR="00DC137E" w:rsidRPr="00C33C5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kazan@umk.pl</w:t>
        </w:r>
      </w:hyperlink>
      <w:r w:rsidR="00F1556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52666" w:rsidRDefault="00452666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C137E" w:rsidRPr="00DC137E" w:rsidRDefault="00DC137E" w:rsidP="00DC137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37E">
        <w:rPr>
          <w:rFonts w:ascii="Times New Roman" w:hAnsi="Times New Roman"/>
          <w:b/>
          <w:sz w:val="24"/>
          <w:szCs w:val="24"/>
        </w:rPr>
        <w:t>Uwaga: Podane wyżej wskazówki dotyczą jedynie wybranych przedmiotów. Pełną listę przedmiotów obowiązujących na II i III roku studiów można sprawdzić na stronie Wydziału Humanistycznego, zakładka „Student”/”Programy studiów”/ „Studia I stopnia”/ „Filologia germańska”/ „Plan studiów”</w:t>
      </w:r>
    </w:p>
    <w:p w:rsidR="00DC137E" w:rsidRDefault="00DC137E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7647" w:rsidRDefault="009C283A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 rok studiów drugiego stopnia</w:t>
      </w:r>
    </w:p>
    <w:p w:rsidR="002D4F9F" w:rsidRDefault="002D4F9F" w:rsidP="008C42E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Spotkanie informacyjne 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października 202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godzinie 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>13:3</w:t>
      </w:r>
      <w:r w:rsidR="000F0BAE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7D66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sali C 3.5</w:t>
      </w:r>
      <w:r w:rsidR="005A7CF0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Collegium </w:t>
      </w:r>
      <w:proofErr w:type="spellStart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>Humanisticum</w:t>
      </w:r>
      <w:proofErr w:type="spellEnd"/>
      <w:r w:rsidR="006460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ul. Bojarskiego 1</w:t>
      </w:r>
      <w:r w:rsidRPr="002D4F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A3D9E" w:rsidRPr="001D4C0B" w:rsidRDefault="008C42E2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Kwalifikacje nauczycielskie: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Osoby zainteresowane nabyciem kwalifikacji nauczycielskich deklarują to</w:t>
      </w:r>
      <w:r w:rsidR="00113078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jak najszybciej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proofErr w:type="spellStart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mejlowo</w:t>
      </w:r>
      <w:proofErr w:type="spellEnd"/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pod adresem </w:t>
      </w:r>
      <w:r w:rsidR="00C1018A"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kazan</w:t>
      </w:r>
      <w:r w:rsidRPr="001D4C0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@umk.pl. </w:t>
      </w:r>
      <w:bookmarkEnd w:id="0"/>
      <w:r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się pociąga za sobą uczestnictwo w zajęciach przewidzianych dla przyszłych nauczycieli (patrz punkt poniżej).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UWAGA: Od bieżącego roku akademickiego nie ma już możliwości 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bez</w:t>
      </w:r>
      <w:r w:rsidR="00722C5F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płatnego uzupełnienia przedmiotó</w:t>
      </w:r>
      <w:r w:rsidR="00667FB8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 modułu nauczycielskiego na studiach pierwszego stopnia. Osoby, które mają braki w tym zakresie, </w:t>
      </w:r>
      <w:r w:rsidR="002A3D9E" w:rsidRPr="001D4C0B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zrealizować ww. przedmioty jako przedmioty niezwiązane z programem studiów. Za przedmioty nieobjęte programem studiów UMK pobiera opłatę. Zgodnie z zarządzeniem rektora dwa przedmioty w roku akademickim są z tej opłaty zwolnione. A zatem ostatecznie student zapłaci za udział w trzecich i kolejnych zajęciach w danym roku akademickim. Przedmioty te nie są podpinane pod program, a to znaczy, że na koniec studiów student musi zgłosić do dziekanatu prośbę o wpis tych przedmiotów do suplementu.</w:t>
      </w:r>
    </w:p>
    <w:p w:rsidR="00754B93" w:rsidRPr="00E90D1F" w:rsidRDefault="00754B93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Uwaga: Zajęcia z p. mgr </w:t>
      </w:r>
      <w:proofErr w:type="spellStart"/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>Strzemeską</w:t>
      </w:r>
      <w:proofErr w:type="spellEnd"/>
      <w:r w:rsidRPr="00E90D1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  <w:t xml:space="preserve"> dla I roku s2 o specjalności nauczycielskiej rozpoczną się wyjątkowo dopiero 11.10. 2023.</w:t>
      </w:r>
    </w:p>
    <w:p w:rsidR="00574647" w:rsidRDefault="00574647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Specjalności i grupy</w:t>
      </w:r>
      <w:r w:rsidRPr="00AD458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dwie specjalności: ogólną i nauczycielską. Studenci zainteresowani nabyciem kwalifikacji nauczycielskich powinni wybrać specjalność nauczycielską i należące do niej pr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edmioty z grupy IV (patrz tabelki poniżej)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Pozostali studenci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wybierają w to miejsce zajęcia 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grupy III. Zajęcia  z grupy I, 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>II</w:t>
      </w:r>
      <w:r w:rsidR="00DA4F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V</w:t>
      </w:r>
      <w:r w:rsidR="00041A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wybierają wszyscy studenci niezależnie od specjalności.</w:t>
      </w:r>
      <w:r w:rsidR="00722C5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A786D" w:rsidRPr="009C575A" w:rsidRDefault="005A786D" w:rsidP="002A3D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C32B67" w:rsidRPr="00C32B67" w:rsidRDefault="00C32B67" w:rsidP="00C32B67">
      <w:pPr>
        <w:numPr>
          <w:ilvl w:val="0"/>
          <w:numId w:val="2"/>
        </w:numPr>
        <w:spacing w:after="4" w:line="288" w:lineRule="auto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32B67">
        <w:rPr>
          <w:rFonts w:ascii="Times New Roman" w:eastAsia="Times New Roman" w:hAnsi="Times New Roman" w:cs="Times New Roman"/>
          <w:color w:val="000000"/>
          <w:lang w:eastAsia="pl-PL"/>
        </w:rPr>
        <w:t xml:space="preserve">semestr </w:t>
      </w:r>
      <w:r w:rsidRPr="00C32B67">
        <w:rPr>
          <w:rFonts w:ascii="Calibri" w:eastAsia="Calibri" w:hAnsi="Calibri" w:cs="Calibri"/>
          <w:color w:val="000000"/>
          <w:lang w:eastAsia="pl-PL"/>
        </w:rPr>
        <w:t xml:space="preserve"> </w:t>
      </w:r>
    </w:p>
    <w:tbl>
      <w:tblPr>
        <w:tblStyle w:val="TableGrid1"/>
        <w:tblW w:w="10601" w:type="dxa"/>
        <w:tblInd w:w="-660" w:type="dxa"/>
        <w:tblCellMar>
          <w:top w:w="23" w:type="dxa"/>
        </w:tblCellMar>
        <w:tblLook w:val="04A0"/>
      </w:tblPr>
      <w:tblGrid>
        <w:gridCol w:w="1234"/>
        <w:gridCol w:w="3198"/>
        <w:gridCol w:w="1415"/>
        <w:gridCol w:w="810"/>
        <w:gridCol w:w="547"/>
        <w:gridCol w:w="545"/>
        <w:gridCol w:w="545"/>
        <w:gridCol w:w="645"/>
        <w:gridCol w:w="545"/>
        <w:gridCol w:w="1117"/>
      </w:tblGrid>
      <w:tr w:rsidR="00C32B67" w:rsidRPr="00C32B67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grupy przedmiotów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Nazwa przedmiotu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C32B67" w:rsidRDefault="00C32B67" w:rsidP="00C32B67">
            <w:pPr>
              <w:spacing w:after="1"/>
              <w:ind w:left="13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Kod przedmiotu  w </w:t>
            </w:r>
          </w:p>
          <w:p w:rsidR="00C32B67" w:rsidRPr="00C32B67" w:rsidRDefault="00C32B67" w:rsidP="00C32B67">
            <w:pPr>
              <w:ind w:left="9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USOS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C32B67" w:rsidRDefault="00C32B67" w:rsidP="00C32B67">
            <w:pPr>
              <w:spacing w:after="1"/>
              <w:ind w:left="36" w:firstLine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punktów </w:t>
            </w:r>
          </w:p>
          <w:p w:rsidR="00C32B67" w:rsidRPr="00C32B67" w:rsidRDefault="00C32B67" w:rsidP="00C32B67">
            <w:pPr>
              <w:ind w:left="142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ECTS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spacing w:after="3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Liczba godzin z bezpośrednim udziałem nauczycieli lub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2B67" w:rsidRPr="00C32B67" w:rsidRDefault="00C32B67" w:rsidP="00C32B67">
            <w:pPr>
              <w:tabs>
                <w:tab w:val="center" w:pos="1377"/>
              </w:tabs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innych osób prowadzących </w:t>
            </w:r>
          </w:p>
          <w:p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zajęcia – wg formy zajęć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Forma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Times New Roman" w:hAnsi="Times New Roman" w:cs="Times New Roman"/>
                <w:color w:val="000000"/>
                <w:sz w:val="20"/>
              </w:rPr>
              <w:t xml:space="preserve">zaliczenia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7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Ć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2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L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Praktyczna nauka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PNJN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 </w:t>
            </w:r>
          </w:p>
        </w:tc>
      </w:tr>
      <w:tr w:rsidR="00C32B67" w:rsidRPr="00C32B6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 w:right="6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Wstęp do translatoryki praktycznej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WDT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15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Translatoryka I (teksty popularne)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TR-TP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II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Seminarium magisterskie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SM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293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10 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Komunikacja interkulturowa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KI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78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Elementy bezpieczeństwa i higieny pracy oraz ergonomii (szkolenie podstawowe)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3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 </w:t>
            </w:r>
          </w:p>
        </w:tc>
      </w:tr>
      <w:tr w:rsidR="00C32B67" w:rsidRPr="00C32B6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B67" w:rsidRPr="00C32B67" w:rsidRDefault="00C32B67" w:rsidP="00C32B67">
            <w:pPr>
              <w:ind w:left="112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Specjalność ogólna z elementami translatoryki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III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Proseminarium specjalistyczne 1</w:t>
            </w:r>
            <w:r w:rsidRPr="00C32B67">
              <w:rPr>
                <w:rFonts w:ascii="Times New Roman" w:hAnsi="Times New Roman" w:cs="Times New Roman"/>
                <w:color w:val="000000"/>
                <w:vertAlign w:val="superscript"/>
              </w:rPr>
              <w:footnoteReference w:id="1"/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6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653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lastRenderedPageBreak/>
              <w:t xml:space="preserve">III 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Proseminarium specjalistyczne 2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zgodnie z wybranym proseminarium 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2 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9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1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5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zaliczenie na ocenę  </w:t>
            </w:r>
          </w:p>
        </w:tc>
      </w:tr>
      <w:tr w:rsidR="00C32B67" w:rsidRPr="00C32B67" w:rsidTr="008B184B">
        <w:trPr>
          <w:trHeight w:val="276"/>
        </w:trPr>
        <w:tc>
          <w:tcPr>
            <w:tcW w:w="94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32B67" w:rsidRPr="00C32B67" w:rsidRDefault="00C32B67" w:rsidP="00C32B67">
            <w:pPr>
              <w:ind w:left="112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>Specjalność nauczycielska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  <w:tr w:rsidR="00C32B67" w:rsidRPr="00C32B67" w:rsidTr="008B184B">
        <w:trPr>
          <w:trHeight w:val="44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IV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10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Dydaktyka języka niemieckiego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>2512-s2GER1Z-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:rsidR="00C32B67" w:rsidRPr="00C32B67" w:rsidRDefault="00C32B67" w:rsidP="00C32B67">
            <w:pPr>
              <w:ind w:left="108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DJN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7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4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3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1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3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08" w:right="7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  <w:sz w:val="18"/>
              </w:rPr>
              <w:t xml:space="preserve">zaliczenie na ocenę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32B67" w:rsidRPr="00C32B67" w:rsidTr="008B184B">
        <w:trPr>
          <w:trHeight w:val="290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36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Razem: 225 godzin dla obu specjalności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5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31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44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60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139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135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left="-24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ab/>
            </w:r>
            <w:r w:rsidRPr="00C32B6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163"/>
              <w:jc w:val="right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30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C32B67" w:rsidRDefault="00C32B67" w:rsidP="00C32B67">
            <w:pPr>
              <w:ind w:right="6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C32B67">
              <w:rPr>
                <w:rFonts w:ascii="Times New Roman" w:hAnsi="Times New Roman" w:cs="Times New Roman"/>
                <w:color w:val="000000"/>
              </w:rPr>
              <w:t xml:space="preserve">X </w:t>
            </w:r>
            <w:r w:rsidRPr="00C32B6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:rsidR="00574647" w:rsidRDefault="00574647" w:rsidP="00574647">
      <w:pPr>
        <w:spacing w:after="0" w:line="240" w:lineRule="auto"/>
        <w:rPr>
          <w:rFonts w:ascii="Times New Roman" w:hAnsi="Times New Roman"/>
        </w:rPr>
      </w:pPr>
    </w:p>
    <w:p w:rsidR="000F0BAE" w:rsidRPr="00AB6F87" w:rsidRDefault="000F0BAE" w:rsidP="000F0BAE">
      <w:pPr>
        <w:spacing w:after="0" w:line="240" w:lineRule="auto"/>
        <w:rPr>
          <w:rFonts w:ascii="Times New Roman" w:hAnsi="Times New Roman"/>
        </w:rPr>
      </w:pPr>
    </w:p>
    <w:p w:rsidR="00C32B67" w:rsidRPr="00723AA9" w:rsidRDefault="00C32B67" w:rsidP="00C32B67">
      <w:pPr>
        <w:numPr>
          <w:ilvl w:val="0"/>
          <w:numId w:val="2"/>
        </w:numPr>
        <w:spacing w:after="4"/>
        <w:ind w:hanging="286"/>
        <w:rPr>
          <w:rFonts w:ascii="Times New Roman" w:hAnsi="Times New Roman" w:cs="Times New Roman"/>
        </w:rPr>
      </w:pPr>
      <w:r w:rsidRPr="00723AA9">
        <w:rPr>
          <w:rFonts w:ascii="Times New Roman" w:hAnsi="Times New Roman" w:cs="Times New Roman"/>
        </w:rPr>
        <w:t xml:space="preserve">semestr </w:t>
      </w:r>
      <w:r w:rsidRPr="00723AA9">
        <w:rPr>
          <w:rFonts w:ascii="Times New Roman" w:eastAsia="Calibri" w:hAnsi="Times New Roman" w:cs="Times New Roman"/>
        </w:rPr>
        <w:t xml:space="preserve"> </w:t>
      </w:r>
    </w:p>
    <w:tbl>
      <w:tblPr>
        <w:tblStyle w:val="TableGrid"/>
        <w:tblW w:w="10601" w:type="dxa"/>
        <w:tblInd w:w="-660" w:type="dxa"/>
        <w:tblCellMar>
          <w:top w:w="24" w:type="dxa"/>
        </w:tblCellMar>
        <w:tblLook w:val="04A0"/>
      </w:tblPr>
      <w:tblGrid>
        <w:gridCol w:w="1240"/>
        <w:gridCol w:w="3259"/>
        <w:gridCol w:w="1417"/>
        <w:gridCol w:w="816"/>
        <w:gridCol w:w="552"/>
        <w:gridCol w:w="550"/>
        <w:gridCol w:w="547"/>
        <w:gridCol w:w="549"/>
        <w:gridCol w:w="550"/>
        <w:gridCol w:w="1121"/>
      </w:tblGrid>
      <w:tr w:rsidR="00C32B67" w:rsidRPr="00723AA9" w:rsidTr="008B184B">
        <w:trPr>
          <w:trHeight w:val="100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grupy przedmiotów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723AA9" w:rsidRDefault="00C32B67" w:rsidP="008B184B">
            <w:pPr>
              <w:spacing w:line="259" w:lineRule="auto"/>
              <w:ind w:right="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Nazwa przedmiotu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723AA9" w:rsidRDefault="00C32B67" w:rsidP="008B184B">
            <w:pPr>
              <w:spacing w:after="1"/>
              <w:ind w:left="13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Kod przedmiotu  w </w:t>
            </w:r>
          </w:p>
          <w:p w:rsidR="00C32B67" w:rsidRPr="00723AA9" w:rsidRDefault="00C32B67" w:rsidP="008B184B">
            <w:pPr>
              <w:spacing w:line="259" w:lineRule="auto"/>
              <w:ind w:left="10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USOS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723AA9" w:rsidRDefault="00C32B67" w:rsidP="008B184B">
            <w:pPr>
              <w:spacing w:after="1"/>
              <w:ind w:left="36" w:firstLine="79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punktów </w:t>
            </w:r>
          </w:p>
          <w:p w:rsidR="00C32B67" w:rsidRPr="00723AA9" w:rsidRDefault="00C32B67" w:rsidP="008B184B">
            <w:pPr>
              <w:spacing w:line="259" w:lineRule="auto"/>
              <w:ind w:left="142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ECTS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7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after="30"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Liczba godzin z bezpośrednim udziałem nauczycieli lub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C32B67" w:rsidRPr="00723AA9" w:rsidRDefault="00C32B67" w:rsidP="008B184B">
            <w:pPr>
              <w:tabs>
                <w:tab w:val="center" w:pos="1377"/>
              </w:tabs>
              <w:spacing w:line="259" w:lineRule="auto"/>
              <w:ind w:left="-24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ab/>
            </w:r>
            <w:r w:rsidRPr="00723AA9">
              <w:rPr>
                <w:rFonts w:ascii="Times New Roman" w:hAnsi="Times New Roman" w:cs="Times New Roman"/>
              </w:rPr>
              <w:t xml:space="preserve">innych osób prowadzących </w:t>
            </w:r>
          </w:p>
          <w:p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zajęcia – wg formy zajęć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Forma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  <w:r w:rsidRPr="00723AA9">
              <w:rPr>
                <w:rFonts w:ascii="Times New Roman" w:hAnsi="Times New Roman" w:cs="Times New Roman"/>
              </w:rPr>
              <w:t xml:space="preserve">zaliczenia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28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7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W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Ć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K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L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C32B67" w:rsidRPr="00723AA9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Praktyczna nauka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PNJN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163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8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egzamin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Translatoryka (specjalistyczny język niemiecki I)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2512-s2GER1L- </w:t>
            </w:r>
          </w:p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TRANS1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161"/>
              <w:jc w:val="right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5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zaliczenie na ocenę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II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Seminarium magisterskie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</w:p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SM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10 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0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277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ogólna z elementami translatoryki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528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Translatoryka II (teksty literackie)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TR-TL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650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III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Proseminarium specjalistyczne 3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zgodnie z wybranym proseminarium 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276"/>
        </w:trPr>
        <w:tc>
          <w:tcPr>
            <w:tcW w:w="1060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>Specjalność nauczycielska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526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IV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Dydaktyka języka niemieckiego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>2512-s2GER1L-</w:t>
            </w:r>
            <w:r w:rsidRPr="00723AA9">
              <w:rPr>
                <w:rFonts w:ascii="Times New Roman" w:eastAsia="Calibri" w:hAnsi="Times New Roman" w:cs="Times New Roman"/>
                <w:sz w:val="18"/>
              </w:rPr>
              <w:t xml:space="preserve"> </w:t>
            </w:r>
          </w:p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  <w:sz w:val="18"/>
              </w:rPr>
              <w:t xml:space="preserve">DJN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4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0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7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12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zaliczenie na ocenę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C32B67" w:rsidRPr="00723AA9" w:rsidTr="008B184B">
        <w:trPr>
          <w:trHeight w:val="293"/>
        </w:trPr>
        <w:tc>
          <w:tcPr>
            <w:tcW w:w="5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Razem: 180 godzin dla obu specjalności 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39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29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right="43"/>
              <w:jc w:val="center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60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90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8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30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B67" w:rsidRPr="00723AA9" w:rsidRDefault="00C32B67" w:rsidP="008B184B">
            <w:pPr>
              <w:spacing w:line="259" w:lineRule="auto"/>
              <w:ind w:left="36"/>
              <w:rPr>
                <w:rFonts w:ascii="Times New Roman" w:hAnsi="Times New Roman" w:cs="Times New Roman"/>
              </w:rPr>
            </w:pPr>
            <w:r w:rsidRPr="00723AA9">
              <w:rPr>
                <w:rFonts w:ascii="Times New Roman" w:hAnsi="Times New Roman" w:cs="Times New Roman"/>
              </w:rPr>
              <w:t xml:space="preserve">X </w:t>
            </w:r>
            <w:r w:rsidRPr="00723AA9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</w:tbl>
    <w:p w:rsidR="000F0BAE" w:rsidRDefault="000F0BAE" w:rsidP="000F0BAE">
      <w:pPr>
        <w:spacing w:after="0" w:line="240" w:lineRule="auto"/>
        <w:rPr>
          <w:rFonts w:ascii="Times New Roman" w:hAnsi="Times New Roman"/>
        </w:rPr>
      </w:pPr>
    </w:p>
    <w:p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:rsidR="00C32B67" w:rsidRDefault="00C32B67" w:rsidP="000F0BAE">
      <w:pPr>
        <w:spacing w:after="0" w:line="240" w:lineRule="auto"/>
        <w:rPr>
          <w:rFonts w:ascii="Times New Roman" w:hAnsi="Times New Roman"/>
        </w:rPr>
      </w:pPr>
    </w:p>
    <w:p w:rsidR="00C32B67" w:rsidRPr="00AB6F87" w:rsidRDefault="00C32B67" w:rsidP="000F0BAE">
      <w:pPr>
        <w:spacing w:after="0" w:line="240" w:lineRule="auto"/>
        <w:rPr>
          <w:rFonts w:ascii="Times New Roman" w:hAnsi="Times New Roman"/>
        </w:rPr>
      </w:pPr>
    </w:p>
    <w:p w:rsidR="00AE66AF" w:rsidRDefault="00C32B6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Proseminaria specjalistyczne</w:t>
      </w:r>
      <w:r w:rsidR="00723AA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 dawne seminaria przedmiotowe</w:t>
      </w:r>
      <w:r w:rsidR="000F0BA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(dotyczy studentów specjalności ogólnej)</w:t>
      </w:r>
      <w:r w:rsid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zaliczane są na ocenę. Podstawą zaliczenia jest aktywne uczestnictwo w zajęciach ora</w:t>
      </w:r>
      <w:r w:rsidR="00AE66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- przy części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seminariów przedmiotowych - pozytywna ocena z pracy semestralnej.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osoba studiująca ma obowiązek jedno z proseminariów specjalistycznych na danym roku zaliczyć na podstawie pracy semestralnej.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szczegółowych warunkach zaliczenia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uczestników zajęć na początku semestru. Osoby, które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będą lub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nie będą pisać pracy semestralnej, deklarują to na początku semestru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 osoby prowadzącej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osób zaliczających seminarium na podstawie pracy </w:t>
      </w:r>
      <w:r w:rsidR="008E239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semestralnej 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powinna stanowić maksymalnie połowę całkowitej liczby uczestników, chyba że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3578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wyrazi zgodę na zwiększenie tego limitu. </w:t>
      </w:r>
      <w:r w:rsidR="0035781C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 prac wyznacza 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prowadząca</w:t>
      </w:r>
      <w:r w:rsidR="00AE66AF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zajęcia.</w:t>
      </w:r>
      <w:r w:rsidR="00754B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50B04" w:rsidRDefault="00754B93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Proseminaria specjalistyczne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dzielimy na językoznawcze i literaturoznawczo-kulturoznawcze. Obowiązująca ilość: 3 (w tym jedno zaliczane na podstawie pracy semestralnej).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>Osoby piszące pracę magisterską z literaturoznawstwa/kulturoznawstwa wybierają dwa seminaria związane z profilem seminarium magisterskiego, tj. literaturoznawczo-kulturoznawcze i jedno seminarium językoznawcze.</w:t>
      </w:r>
      <w:r w:rsidR="009421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C283A"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piszące pracę magisterską z językoznawstwa wybierają dwa seminaria przedmiotowe językoznawcze i jedno o profilu literaturoznawczo-kulturoznawczym.</w:t>
      </w:r>
    </w:p>
    <w:p w:rsidR="000877AF" w:rsidRDefault="00050B04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w bieżącym roku akademickim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077B05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seminari</w:t>
      </w:r>
      <w:r w:rsidR="00077B0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przedmiotowe lit./kult. (</w:t>
      </w:r>
      <w:r w:rsidR="00723AA9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zimowym, </w:t>
      </w:r>
      <w:r w:rsidR="00723AA9">
        <w:rPr>
          <w:rFonts w:ascii="Times New Roman" w:eastAsia="Times New Roman" w:hAnsi="Times New Roman" w:cs="Times New Roman"/>
          <w:sz w:val="24"/>
          <w:szCs w:val="24"/>
          <w:lang w:eastAsia="pl-PL"/>
        </w:rPr>
        <w:t>dwa</w:t>
      </w:r>
      <w:r w:rsidR="00077B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 oraz 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językoznawcze (</w:t>
      </w:r>
      <w:r w:rsidR="00723AA9">
        <w:rPr>
          <w:rFonts w:ascii="Times New Roman" w:eastAsia="Times New Roman" w:hAnsi="Times New Roman" w:cs="Times New Roman"/>
          <w:sz w:val="24"/>
          <w:szCs w:val="24"/>
          <w:lang w:eastAsia="pl-PL"/>
        </w:rPr>
        <w:t>dwa w semestrze zimowym, jedno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letnim).</w:t>
      </w:r>
    </w:p>
    <w:p w:rsidR="00C1018A" w:rsidRDefault="00C1018A" w:rsidP="00B173A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529"/>
      </w:tblGrid>
      <w:tr w:rsidR="00C1018A" w:rsidRPr="002A3D9E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C1018A" w:rsidRPr="002A3D9E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Proseminarium specjalistyczne/ </w:t>
            </w:r>
            <w:proofErr w:type="spellStart"/>
            <w:r w:rsidR="00C1018A">
              <w:rPr>
                <w:rFonts w:ascii="Times New Roman" w:hAnsi="Times New Roman"/>
                <w:b/>
                <w:szCs w:val="24"/>
              </w:rPr>
              <w:t>Semin</w:t>
            </w:r>
            <w:proofErr w:type="spellEnd"/>
            <w:r w:rsidR="00C1018A">
              <w:rPr>
                <w:rFonts w:ascii="Times New Roman" w:hAnsi="Times New Roman"/>
                <w:b/>
                <w:szCs w:val="24"/>
              </w:rPr>
              <w:t>. przedmiotowe I-II</w:t>
            </w:r>
          </w:p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3AA9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Waszak</w:t>
            </w:r>
          </w:p>
          <w:p w:rsidR="00C1018A" w:rsidRPr="002A3D9E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Zientara</w:t>
            </w:r>
            <w:r w:rsidR="00C1018A" w:rsidRPr="002A3D9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3AA9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Norkowska </w:t>
            </w:r>
          </w:p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p</w:t>
            </w:r>
            <w:r w:rsidR="00723AA9">
              <w:rPr>
                <w:rFonts w:ascii="Times New Roman" w:hAnsi="Times New Roman"/>
                <w:szCs w:val="24"/>
              </w:rPr>
              <w:t>rof. Żyliński</w:t>
            </w:r>
            <w:r w:rsidRPr="002A3D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C1018A" w:rsidRPr="002A3D9E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C1018A" w:rsidRPr="002A3D9E" w:rsidRDefault="00723AA9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Proseminarium specjalistyczne/ </w:t>
            </w:r>
            <w:proofErr w:type="spellStart"/>
            <w:r w:rsidR="00C1018A">
              <w:rPr>
                <w:rFonts w:ascii="Times New Roman" w:hAnsi="Times New Roman"/>
                <w:b/>
                <w:szCs w:val="24"/>
              </w:rPr>
              <w:t>Semin</w:t>
            </w:r>
            <w:proofErr w:type="spellEnd"/>
            <w:r w:rsidR="00C1018A">
              <w:rPr>
                <w:rFonts w:ascii="Times New Roman" w:hAnsi="Times New Roman"/>
                <w:b/>
                <w:szCs w:val="24"/>
              </w:rPr>
              <w:t xml:space="preserve">. przedmiotowe  I-II </w:t>
            </w:r>
            <w:r w:rsidR="00C1018A"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723AA9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dr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3D9E">
              <w:rPr>
                <w:rFonts w:ascii="Times New Roman" w:hAnsi="Times New Roman"/>
                <w:szCs w:val="24"/>
              </w:rPr>
              <w:t>Grotek</w:t>
            </w:r>
          </w:p>
          <w:p w:rsidR="00C1018A" w:rsidRPr="002A3D9E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  <w:r w:rsidR="00C1018A" w:rsidRPr="002A3D9E">
              <w:rPr>
                <w:rFonts w:ascii="Times New Roman" w:hAnsi="Times New Roman"/>
                <w:szCs w:val="24"/>
              </w:rPr>
              <w:t xml:space="preserve">  </w:t>
            </w:r>
          </w:p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018A" w:rsidRPr="002A3D9E" w:rsidRDefault="00723AA9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</w:t>
            </w:r>
            <w:r w:rsidR="00C1018A" w:rsidRPr="002A3D9E">
              <w:rPr>
                <w:rFonts w:ascii="Times New Roman" w:hAnsi="Times New Roman"/>
                <w:szCs w:val="24"/>
              </w:rPr>
              <w:t xml:space="preserve">Zieliński </w:t>
            </w:r>
          </w:p>
          <w:p w:rsidR="00C1018A" w:rsidRPr="002A3D9E" w:rsidRDefault="00C1018A" w:rsidP="004A7944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:rsidR="00C1018A" w:rsidRDefault="00C1018A" w:rsidP="00EE73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283A" w:rsidRPr="009C283A" w:rsidRDefault="009C283A" w:rsidP="00EE733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733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Wykład monograficzny literatura/kultura</w:t>
      </w:r>
      <w:r w:rsidR="00EE73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723A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osób zaczynających studia w roku akademickim 2023/2024 ten wykład jest dopiero  na II roku studiów. Dla osób, które zaczęły studia w roku akademickim 2022/2023: 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jeden wykład do zaliczenia do końca IV semestru, </w:t>
      </w:r>
      <w:r w:rsidR="00723AA9">
        <w:rPr>
          <w:rFonts w:ascii="Times New Roman" w:eastAsia="Times New Roman" w:hAnsi="Times New Roman" w:cs="Times New Roman"/>
          <w:sz w:val="24"/>
          <w:szCs w:val="24"/>
          <w:lang w:eastAsia="pl-PL"/>
        </w:rPr>
        <w:t>czyli na I lub II roku. Wykład kończy się egzaminem.</w:t>
      </w:r>
    </w:p>
    <w:p w:rsidR="00EE733F" w:rsidRPr="00193207" w:rsidRDefault="00EE733F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C283A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bieżącym roku akademickim oferujemy </w:t>
      </w:r>
      <w:r w:rsidR="00DA4F54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tylko jeden </w:t>
      </w:r>
      <w:r w:rsidR="009C283A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wykład</w:t>
      </w:r>
      <w:r w:rsidR="00DA4F54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monograficzn</w:t>
      </w:r>
      <w:r w:rsidR="00DA4F54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9C283A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</w:t>
      </w:r>
      <w:r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letnim</w:t>
      </w:r>
      <w:r w:rsidR="009C283A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722C5F" w:rsidRPr="001932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529"/>
      </w:tblGrid>
      <w:tr w:rsidR="00EE733F" w:rsidRPr="002A3D9E" w:rsidTr="007E58A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EE733F" w:rsidRPr="002A3D9E" w:rsidRDefault="00EE733F" w:rsidP="007E5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33F" w:rsidRPr="002A3D9E" w:rsidRDefault="00EE733F" w:rsidP="00EE733F">
            <w:pPr>
              <w:pStyle w:val="Styl"/>
              <w:jc w:val="both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E733F" w:rsidRPr="002A3D9E" w:rsidRDefault="00EE733F" w:rsidP="007E58AE">
            <w:pPr>
              <w:pStyle w:val="Styl"/>
              <w:ind w:left="67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EE733F" w:rsidRPr="002A3D9E" w:rsidTr="007E58A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EE733F" w:rsidRPr="002A3D9E" w:rsidRDefault="004A27A5" w:rsidP="00C1018A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Wykład monograficzny z literatury i kultury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33F" w:rsidRPr="002A3D9E" w:rsidRDefault="00EE733F" w:rsidP="007E58AE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:rsidR="00EE733F" w:rsidRPr="002A3D9E" w:rsidRDefault="00EE733F" w:rsidP="007E58AE">
            <w:pPr>
              <w:pStyle w:val="Styl"/>
              <w:jc w:val="center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E733F" w:rsidRPr="002A3D9E" w:rsidRDefault="003E3672" w:rsidP="007E58AE">
            <w:pPr>
              <w:pStyle w:val="Styl"/>
              <w:ind w:left="67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 xml:space="preserve">prof. </w:t>
            </w:r>
            <w:r w:rsidR="00BA3B97">
              <w:rPr>
                <w:rFonts w:ascii="Times New Roman" w:hAnsi="Times New Roman"/>
                <w:szCs w:val="24"/>
              </w:rPr>
              <w:t>Waszak</w:t>
            </w:r>
          </w:p>
        </w:tc>
      </w:tr>
    </w:tbl>
    <w:p w:rsidR="00EE733F" w:rsidRDefault="00EE733F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31DF7" w:rsidRPr="002C3D12" w:rsidRDefault="00F31DF7" w:rsidP="005476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REJE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TRACJA NA SEMINARIA MAGISTERSKIE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 W przypadku niemożności zapisania się na preferowane seminarium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dr Katarzyną </w:t>
      </w:r>
      <w:proofErr w:type="spellStart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(kazan@umk.pl).</w:t>
      </w:r>
    </w:p>
    <w:p w:rsidR="00873FD5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bdr w:val="single" w:sz="18" w:space="0" w:color="auto" w:frame="1"/>
          <w:lang w:eastAsia="pl-PL"/>
        </w:rPr>
        <w:t>II rok studiów drugiego stopnia</w:t>
      </w:r>
    </w:p>
    <w:p w:rsidR="00050B04" w:rsidRPr="003905CC" w:rsidRDefault="009C283A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E36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Obowiązująca ilość seminariów przedmiotowych do zaliczenia: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niezależnie od specjalności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jedno zaliczane na podstawie pracy semestralnej</w:t>
      </w:r>
      <w:r w:rsidR="00B173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  <w:r w:rsidR="00A84F88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Wybierają Państwo d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wa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seminaria związane z profilem seminarium magisterskiego</w:t>
      </w:r>
      <w:r w:rsidR="00B173A9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plus jedno z literatury/kultury</w:t>
      </w:r>
      <w:r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193207" w:rsidRPr="0039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E3672" w:rsidRDefault="003E3672" w:rsidP="003E36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UWAGA: w bieżącym roku akademickim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oferujemy </w:t>
      </w:r>
      <w:r w:rsidR="00264912">
        <w:rPr>
          <w:rFonts w:ascii="Times New Roman" w:eastAsia="Times New Roman" w:hAnsi="Times New Roman" w:cs="Times New Roman"/>
          <w:sz w:val="24"/>
          <w:szCs w:val="24"/>
          <w:lang w:eastAsia="pl-PL"/>
        </w:rPr>
        <w:t>cztery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seminari</w:t>
      </w:r>
      <w:r w:rsidR="0026491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przedmiotowe lit./kult. (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>dwa w semestrze zimowym, dwa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 oraz </w:t>
      </w:r>
      <w:r w:rsidR="00264912">
        <w:rPr>
          <w:rFonts w:ascii="Times New Roman" w:eastAsia="Times New Roman" w:hAnsi="Times New Roman" w:cs="Times New Roman"/>
          <w:sz w:val="24"/>
          <w:szCs w:val="24"/>
          <w:lang w:eastAsia="pl-PL"/>
        </w:rPr>
        <w:t>trzy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proseminaria językoznawcze (</w:t>
      </w:r>
      <w:r w:rsidR="006C50F1">
        <w:rPr>
          <w:rFonts w:ascii="Times New Roman" w:eastAsia="Times New Roman" w:hAnsi="Times New Roman" w:cs="Times New Roman"/>
          <w:sz w:val="24"/>
          <w:szCs w:val="24"/>
          <w:lang w:eastAsia="pl-PL"/>
        </w:rPr>
        <w:t>dwa w semestrze zimowym, jedno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letnim).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529"/>
      </w:tblGrid>
      <w:tr w:rsidR="002A3D9E" w:rsidRPr="002A3D9E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2A3D9E" w:rsidRPr="002A3D9E" w:rsidRDefault="002A3D9E" w:rsidP="004A7944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3D9E" w:rsidRPr="002A3D9E" w:rsidRDefault="002A3D9E" w:rsidP="004A7944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6C50F1" w:rsidRPr="002A3D9E" w:rsidTr="004A7944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Semin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>. przedmiotowe I-II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r w:rsidRPr="002A3D9E">
              <w:rPr>
                <w:rFonts w:ascii="Times New Roman" w:hAnsi="Times New Roman"/>
                <w:b/>
                <w:szCs w:val="24"/>
              </w:rPr>
              <w:t>(literatura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kultura)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C50F1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Waszak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Zientara</w:t>
            </w:r>
            <w:r w:rsidRPr="002A3D9E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F1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Norkowska 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p</w:t>
            </w:r>
            <w:r>
              <w:rPr>
                <w:rFonts w:ascii="Times New Roman" w:hAnsi="Times New Roman"/>
                <w:szCs w:val="24"/>
              </w:rPr>
              <w:t>rof. Żyliński</w:t>
            </w:r>
            <w:r w:rsidRPr="002A3D9E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  <w:tr w:rsidR="006C50F1" w:rsidRPr="002A3D9E" w:rsidTr="006C50F1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Semin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. przedmiotowe  I-II </w:t>
            </w:r>
            <w:r w:rsidRPr="002A3D9E">
              <w:rPr>
                <w:rFonts w:ascii="Times New Roman" w:hAnsi="Times New Roman"/>
                <w:b/>
                <w:szCs w:val="24"/>
              </w:rPr>
              <w:t xml:space="preserve">(językoznawstwo) 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6C50F1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dr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2A3D9E">
              <w:rPr>
                <w:rFonts w:ascii="Times New Roman" w:hAnsi="Times New Roman"/>
                <w:szCs w:val="24"/>
              </w:rPr>
              <w:t>Grotek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Cs w:val="24"/>
              </w:rPr>
              <w:t>Pankanin</w:t>
            </w:r>
            <w:proofErr w:type="spellEnd"/>
            <w:r w:rsidRPr="002A3D9E">
              <w:rPr>
                <w:rFonts w:ascii="Times New Roman" w:hAnsi="Times New Roman"/>
                <w:szCs w:val="24"/>
              </w:rPr>
              <w:t xml:space="preserve">  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prof. </w:t>
            </w:r>
            <w:r w:rsidRPr="002A3D9E">
              <w:rPr>
                <w:rFonts w:ascii="Times New Roman" w:hAnsi="Times New Roman"/>
                <w:szCs w:val="24"/>
              </w:rPr>
              <w:t xml:space="preserve">Zieliński </w:t>
            </w:r>
          </w:p>
          <w:p w:rsidR="006C50F1" w:rsidRPr="002A3D9E" w:rsidRDefault="006C50F1" w:rsidP="006C50F1">
            <w:pPr>
              <w:pStyle w:val="Styl"/>
              <w:rPr>
                <w:rFonts w:ascii="Times New Roman" w:hAnsi="Times New Roman"/>
                <w:szCs w:val="24"/>
              </w:rPr>
            </w:pPr>
          </w:p>
        </w:tc>
      </w:tr>
    </w:tbl>
    <w:p w:rsidR="00C1018A" w:rsidRDefault="00C1018A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C283A" w:rsidRPr="009C283A" w:rsidRDefault="00DA4F54" w:rsidP="009C283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9C283A" w:rsidRPr="00A32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ykład monograficzny literatura/kultura (o ile ktoś nie zaliczył go na I roku</w:t>
      </w:r>
      <w:r w:rsidR="00243D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A32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32626" w:rsidRPr="00B317FF" w:rsidRDefault="00A32626" w:rsidP="00A326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bieżącym roku akademickim oferujemy </w:t>
      </w:r>
      <w:r w:rsidR="00DA4F54"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jeden</w:t>
      </w:r>
      <w:r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wykład monograficzn</w:t>
      </w:r>
      <w:r w:rsidR="00DA4F54"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semestrze letnim.</w:t>
      </w:r>
      <w:r w:rsidR="00B36D9C" w:rsidRPr="00B317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pPr w:leftFromText="141" w:rightFromText="141" w:vertAnchor="text" w:horzAnchor="margin" w:tblpY="137"/>
        <w:tblW w:w="91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08"/>
        <w:gridCol w:w="2528"/>
        <w:gridCol w:w="2529"/>
      </w:tblGrid>
      <w:tr w:rsidR="00A32626" w:rsidRPr="002A3D9E" w:rsidTr="007E58A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A32626" w:rsidRPr="002A3D9E" w:rsidRDefault="00A32626" w:rsidP="007E58A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A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Semestr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626" w:rsidRPr="002A3D9E" w:rsidRDefault="00A32626" w:rsidP="007E58AE">
            <w:pPr>
              <w:pStyle w:val="Styl"/>
              <w:jc w:val="both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zimowy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2626" w:rsidRPr="002A3D9E" w:rsidRDefault="00A32626" w:rsidP="007E58AE">
            <w:pPr>
              <w:pStyle w:val="Styl"/>
              <w:ind w:left="67"/>
              <w:rPr>
                <w:rFonts w:ascii="Times New Roman" w:hAnsi="Times New Roman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letni</w:t>
            </w:r>
          </w:p>
        </w:tc>
      </w:tr>
      <w:tr w:rsidR="00A32626" w:rsidRPr="002A3D9E" w:rsidTr="007E58AE">
        <w:trPr>
          <w:cantSplit/>
          <w:trHeight w:val="607"/>
        </w:trPr>
        <w:tc>
          <w:tcPr>
            <w:tcW w:w="41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  <w:hideMark/>
          </w:tcPr>
          <w:p w:rsidR="00A32626" w:rsidRPr="002A3D9E" w:rsidRDefault="00A32626" w:rsidP="00C1018A">
            <w:pPr>
              <w:spacing w:line="240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2A3D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Historia literatury/kultury niemieckiego obszaru językowego (wykład </w:t>
            </w:r>
            <w:r w:rsidRPr="002A3D9E">
              <w:rPr>
                <w:rFonts w:ascii="Times New Roman" w:hAnsi="Times New Roman" w:cs="Times New Roman"/>
                <w:b/>
                <w:szCs w:val="24"/>
              </w:rPr>
              <w:t>monograficzny I/II)</w:t>
            </w:r>
          </w:p>
        </w:tc>
        <w:tc>
          <w:tcPr>
            <w:tcW w:w="2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626" w:rsidRPr="002A3D9E" w:rsidRDefault="00A32626" w:rsidP="007E58AE">
            <w:pPr>
              <w:pStyle w:val="Styl"/>
              <w:jc w:val="center"/>
              <w:rPr>
                <w:rFonts w:ascii="Times New Roman" w:hAnsi="Times New Roman"/>
                <w:szCs w:val="24"/>
              </w:rPr>
            </w:pPr>
          </w:p>
          <w:p w:rsidR="00A32626" w:rsidRPr="002A3D9E" w:rsidRDefault="00A32626" w:rsidP="007E58AE">
            <w:pPr>
              <w:pStyle w:val="Styl"/>
              <w:jc w:val="center"/>
              <w:rPr>
                <w:rFonts w:ascii="Times New Roman" w:hAnsi="Times New Roman"/>
                <w:color w:val="00B0F0"/>
                <w:szCs w:val="24"/>
              </w:rPr>
            </w:pPr>
            <w:r w:rsidRPr="002A3D9E">
              <w:rPr>
                <w:rFonts w:ascii="Times New Roman" w:hAnsi="Times New Roman"/>
                <w:szCs w:val="24"/>
              </w:rPr>
              <w:t>----------------</w:t>
            </w:r>
          </w:p>
        </w:tc>
        <w:tc>
          <w:tcPr>
            <w:tcW w:w="2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32626" w:rsidRPr="002A3D9E" w:rsidRDefault="004864A5" w:rsidP="002A3D9E">
            <w:pPr>
              <w:pStyle w:val="Styl"/>
              <w:rPr>
                <w:rFonts w:ascii="Times New Roman" w:hAnsi="Times New Roman"/>
                <w:color w:val="00B0F0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prof. Waszak</w:t>
            </w:r>
          </w:p>
        </w:tc>
      </w:tr>
    </w:tbl>
    <w:p w:rsidR="00A32626" w:rsidRDefault="00A32626" w:rsidP="00A3262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4F9F" w:rsidRDefault="002D4F9F" w:rsidP="002D4F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26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Zajęcia z języków specjalistycznych w semestrze letnim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wybrać trzy bloki po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15 godzin z oferowanych 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czterech</w:t>
      </w:r>
      <w:r w:rsidR="00A3262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</w:t>
      </w:r>
      <w:proofErr w:type="spellEnd"/>
      <w:r w:rsidRPr="002A3D9E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1 Fachsprache Jura</w:t>
      </w:r>
    </w:p>
    <w:p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</w:t>
      </w:r>
      <w:proofErr w:type="spellEnd"/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2 Wissenschaftsdeutsch</w:t>
      </w:r>
    </w:p>
    <w:p w:rsidR="00A32626" w:rsidRPr="00A32626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proofErr w:type="spellStart"/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gr</w:t>
      </w:r>
      <w:proofErr w:type="spellEnd"/>
      <w:r w:rsidRPr="00A32626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>. 3 Fachsprache Wirtschaft</w:t>
      </w:r>
    </w:p>
    <w:p w:rsidR="00A32626" w:rsidRPr="002A3D9E" w:rsidRDefault="00A32626" w:rsidP="00A326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gr. 4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Fachsprache</w:t>
      </w:r>
      <w:proofErr w:type="spellEnd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Tourismus</w:t>
      </w:r>
      <w:proofErr w:type="spellEnd"/>
    </w:p>
    <w:p w:rsidR="00F31DF7" w:rsidRPr="002C3D12" w:rsidRDefault="00F31DF7" w:rsidP="00873FD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>REJES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TRACJA NA SEMINARIA MAGISTERSKIE</w:t>
      </w:r>
      <w:r w:rsidRPr="009C2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odbywa się tak, jak na pozostałe zajęcia w ramach limitów ustalonych w oparciu o liczebność roku. W przypadku niemożności zapisania się na preferowane seminarium w zwi</w:t>
      </w:r>
      <w:r w:rsidR="00985E63">
        <w:rPr>
          <w:rFonts w:ascii="Times New Roman" w:eastAsia="Times New Roman" w:hAnsi="Times New Roman" w:cs="Times New Roman"/>
          <w:sz w:val="24"/>
          <w:szCs w:val="24"/>
          <w:lang w:eastAsia="pl-PL"/>
        </w:rPr>
        <w:t>ązku z wypełnieniem limitu prosimy</w:t>
      </w:r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kontakt: z dr Katarzyną </w:t>
      </w:r>
      <w:proofErr w:type="spellStart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>Szczerbowską-Prusevicius</w:t>
      </w:r>
      <w:proofErr w:type="spellEnd"/>
      <w:r w:rsidR="002A3D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(kazan@umk.pl)</w:t>
      </w:r>
      <w:r w:rsidR="00C1018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F31DF7" w:rsidRPr="002C3D12" w:rsidSect="00A4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D0F" w:rsidRDefault="003F0D0F" w:rsidP="00574647">
      <w:pPr>
        <w:spacing w:after="0" w:line="240" w:lineRule="auto"/>
      </w:pPr>
      <w:r>
        <w:separator/>
      </w:r>
    </w:p>
  </w:endnote>
  <w:endnote w:type="continuationSeparator" w:id="0">
    <w:p w:rsidR="003F0D0F" w:rsidRDefault="003F0D0F" w:rsidP="0057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D0F" w:rsidRDefault="003F0D0F" w:rsidP="00574647">
      <w:pPr>
        <w:spacing w:after="0" w:line="240" w:lineRule="auto"/>
      </w:pPr>
      <w:r>
        <w:separator/>
      </w:r>
    </w:p>
  </w:footnote>
  <w:footnote w:type="continuationSeparator" w:id="0">
    <w:p w:rsidR="003F0D0F" w:rsidRDefault="003F0D0F" w:rsidP="00574647">
      <w:pPr>
        <w:spacing w:after="0" w:line="240" w:lineRule="auto"/>
      </w:pPr>
      <w:r>
        <w:continuationSeparator/>
      </w:r>
    </w:p>
  </w:footnote>
  <w:footnote w:id="1">
    <w:p w:rsidR="00C32B67" w:rsidRDefault="00C32B67" w:rsidP="00C32B67">
      <w:pPr>
        <w:pStyle w:val="footnotedescription"/>
      </w:pPr>
      <w:r>
        <w:rPr>
          <w:rStyle w:val="footnotemark"/>
        </w:rPr>
        <w:footnoteRef/>
      </w:r>
      <w:r>
        <w:t xml:space="preserve"> Na I roku studiów studenci specjalności ogólnej z elementami translatoryki muszą zaliczyć 3 proseminaria specjalistyczne (30 godzin i 2 ECTS każde). Proseminaria specjalistyczne nie są przypisane do konkretnego semestru, można je zatem zrealizować w semestrze I lub II. Dwa proseminaria powinny odpowiadać profilowi wybranego seminarium magisterskiego. Studenci, którzy wybrali seminarium magisterskie z literaturoznawstwa, realizują zatem dwa proseminaria z literatury i kultury i jedno językoznawcze. Studenci, którzy wybrali seminarium magisterskie z językoznawstwa, realizują natomiast dwa proseminaria językoznawcze i jedno z literatury i kultury.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52808"/>
    <w:multiLevelType w:val="hybridMultilevel"/>
    <w:tmpl w:val="EDC2CF4A"/>
    <w:lvl w:ilvl="0" w:tplc="F94A0D54">
      <w:start w:val="2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407D3A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87116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1E4396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8E3E7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0E9C14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120048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B8DE22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060D96C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1FD4D88"/>
    <w:multiLevelType w:val="hybridMultilevel"/>
    <w:tmpl w:val="45CC3422"/>
    <w:lvl w:ilvl="0" w:tplc="4A8A0490">
      <w:start w:val="1"/>
      <w:numFmt w:val="upperRoman"/>
      <w:lvlText w:val="%1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9C2B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CCBB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E43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EAA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A8079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AC76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3A53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A67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283A"/>
    <w:rsid w:val="00005D09"/>
    <w:rsid w:val="000303B2"/>
    <w:rsid w:val="00036ED6"/>
    <w:rsid w:val="00041AD3"/>
    <w:rsid w:val="00044939"/>
    <w:rsid w:val="00050B04"/>
    <w:rsid w:val="000657A5"/>
    <w:rsid w:val="000674F2"/>
    <w:rsid w:val="00077B05"/>
    <w:rsid w:val="00085F06"/>
    <w:rsid w:val="000877AF"/>
    <w:rsid w:val="00087C7E"/>
    <w:rsid w:val="000F0BAE"/>
    <w:rsid w:val="00104FEA"/>
    <w:rsid w:val="00113078"/>
    <w:rsid w:val="0012510E"/>
    <w:rsid w:val="00134D16"/>
    <w:rsid w:val="00151FEE"/>
    <w:rsid w:val="00193207"/>
    <w:rsid w:val="001A29D2"/>
    <w:rsid w:val="001D4C0B"/>
    <w:rsid w:val="001F2B1B"/>
    <w:rsid w:val="001F7C6E"/>
    <w:rsid w:val="00222837"/>
    <w:rsid w:val="002369B5"/>
    <w:rsid w:val="00243D90"/>
    <w:rsid w:val="00264912"/>
    <w:rsid w:val="002A3D9E"/>
    <w:rsid w:val="002A5338"/>
    <w:rsid w:val="002C3D12"/>
    <w:rsid w:val="002D313E"/>
    <w:rsid w:val="002D4F9F"/>
    <w:rsid w:val="002D70C4"/>
    <w:rsid w:val="002E2712"/>
    <w:rsid w:val="002E47B3"/>
    <w:rsid w:val="002F661A"/>
    <w:rsid w:val="003535AB"/>
    <w:rsid w:val="0035781C"/>
    <w:rsid w:val="00371AE4"/>
    <w:rsid w:val="003905CC"/>
    <w:rsid w:val="00390ACF"/>
    <w:rsid w:val="00392DD4"/>
    <w:rsid w:val="003E3672"/>
    <w:rsid w:val="003F0D0F"/>
    <w:rsid w:val="003F736C"/>
    <w:rsid w:val="004018C9"/>
    <w:rsid w:val="00452666"/>
    <w:rsid w:val="00474D8D"/>
    <w:rsid w:val="004778DE"/>
    <w:rsid w:val="004864A5"/>
    <w:rsid w:val="004A27A5"/>
    <w:rsid w:val="004A7944"/>
    <w:rsid w:val="004D291B"/>
    <w:rsid w:val="00505DE3"/>
    <w:rsid w:val="00547647"/>
    <w:rsid w:val="00557A2B"/>
    <w:rsid w:val="005723BA"/>
    <w:rsid w:val="00574647"/>
    <w:rsid w:val="00577AAE"/>
    <w:rsid w:val="00584C4C"/>
    <w:rsid w:val="005A786D"/>
    <w:rsid w:val="005A7CF0"/>
    <w:rsid w:val="005F2362"/>
    <w:rsid w:val="0060233A"/>
    <w:rsid w:val="0061594B"/>
    <w:rsid w:val="0061788B"/>
    <w:rsid w:val="00621065"/>
    <w:rsid w:val="00635721"/>
    <w:rsid w:val="006460B4"/>
    <w:rsid w:val="00667FB8"/>
    <w:rsid w:val="00676CB3"/>
    <w:rsid w:val="00697E57"/>
    <w:rsid w:val="006A073D"/>
    <w:rsid w:val="006A2283"/>
    <w:rsid w:val="006C50F1"/>
    <w:rsid w:val="006E31D9"/>
    <w:rsid w:val="006E3208"/>
    <w:rsid w:val="006F3387"/>
    <w:rsid w:val="00722C5F"/>
    <w:rsid w:val="00723AA9"/>
    <w:rsid w:val="00747C78"/>
    <w:rsid w:val="00754B93"/>
    <w:rsid w:val="00755D4B"/>
    <w:rsid w:val="007D3A92"/>
    <w:rsid w:val="007D660B"/>
    <w:rsid w:val="007E58AE"/>
    <w:rsid w:val="007F1692"/>
    <w:rsid w:val="007F5F8C"/>
    <w:rsid w:val="00803D3F"/>
    <w:rsid w:val="00807836"/>
    <w:rsid w:val="008444AA"/>
    <w:rsid w:val="00867FE6"/>
    <w:rsid w:val="00873012"/>
    <w:rsid w:val="00873FD5"/>
    <w:rsid w:val="008767BC"/>
    <w:rsid w:val="00881D08"/>
    <w:rsid w:val="00894C80"/>
    <w:rsid w:val="008C42E2"/>
    <w:rsid w:val="008E2398"/>
    <w:rsid w:val="00910713"/>
    <w:rsid w:val="00914633"/>
    <w:rsid w:val="00925A51"/>
    <w:rsid w:val="00925AE2"/>
    <w:rsid w:val="009421C7"/>
    <w:rsid w:val="0095170A"/>
    <w:rsid w:val="009704C8"/>
    <w:rsid w:val="00985E63"/>
    <w:rsid w:val="00990065"/>
    <w:rsid w:val="00996EBC"/>
    <w:rsid w:val="009C283A"/>
    <w:rsid w:val="009C575A"/>
    <w:rsid w:val="009C6D54"/>
    <w:rsid w:val="009C7953"/>
    <w:rsid w:val="00A02C37"/>
    <w:rsid w:val="00A20B35"/>
    <w:rsid w:val="00A305EA"/>
    <w:rsid w:val="00A32626"/>
    <w:rsid w:val="00A37710"/>
    <w:rsid w:val="00A44026"/>
    <w:rsid w:val="00A7786A"/>
    <w:rsid w:val="00A84F88"/>
    <w:rsid w:val="00A973E3"/>
    <w:rsid w:val="00AC3967"/>
    <w:rsid w:val="00AD4588"/>
    <w:rsid w:val="00AE66AF"/>
    <w:rsid w:val="00B173A9"/>
    <w:rsid w:val="00B25CBA"/>
    <w:rsid w:val="00B317FF"/>
    <w:rsid w:val="00B33E1A"/>
    <w:rsid w:val="00B36D9C"/>
    <w:rsid w:val="00B94297"/>
    <w:rsid w:val="00BA3B97"/>
    <w:rsid w:val="00BA5A1C"/>
    <w:rsid w:val="00BB1E6E"/>
    <w:rsid w:val="00BE4744"/>
    <w:rsid w:val="00C1018A"/>
    <w:rsid w:val="00C208CD"/>
    <w:rsid w:val="00C2462E"/>
    <w:rsid w:val="00C30F36"/>
    <w:rsid w:val="00C32B67"/>
    <w:rsid w:val="00C547C6"/>
    <w:rsid w:val="00C611DA"/>
    <w:rsid w:val="00CA2D3D"/>
    <w:rsid w:val="00CB1DF1"/>
    <w:rsid w:val="00CE3975"/>
    <w:rsid w:val="00CE3BAE"/>
    <w:rsid w:val="00CE63B6"/>
    <w:rsid w:val="00CF4E72"/>
    <w:rsid w:val="00D34CF4"/>
    <w:rsid w:val="00D847EF"/>
    <w:rsid w:val="00D85072"/>
    <w:rsid w:val="00DA4F54"/>
    <w:rsid w:val="00DB130B"/>
    <w:rsid w:val="00DB1694"/>
    <w:rsid w:val="00DC137E"/>
    <w:rsid w:val="00DC1C81"/>
    <w:rsid w:val="00DC2F0B"/>
    <w:rsid w:val="00DE5DE8"/>
    <w:rsid w:val="00E23793"/>
    <w:rsid w:val="00E3209E"/>
    <w:rsid w:val="00E51965"/>
    <w:rsid w:val="00E608B2"/>
    <w:rsid w:val="00E61626"/>
    <w:rsid w:val="00E847BC"/>
    <w:rsid w:val="00E85462"/>
    <w:rsid w:val="00E90D1F"/>
    <w:rsid w:val="00E914AD"/>
    <w:rsid w:val="00EA29FF"/>
    <w:rsid w:val="00ED5C51"/>
    <w:rsid w:val="00EE733F"/>
    <w:rsid w:val="00EF22B2"/>
    <w:rsid w:val="00F1491D"/>
    <w:rsid w:val="00F15565"/>
    <w:rsid w:val="00F31DF7"/>
    <w:rsid w:val="00F70530"/>
    <w:rsid w:val="00F7636E"/>
    <w:rsid w:val="00FA3F74"/>
    <w:rsid w:val="00FB68A5"/>
    <w:rsid w:val="00FC02AC"/>
    <w:rsid w:val="00FD6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4026"/>
  </w:style>
  <w:style w:type="paragraph" w:styleId="Nagwek2">
    <w:name w:val="heading 2"/>
    <w:basedOn w:val="Normalny"/>
    <w:link w:val="Nagwek2Znak"/>
    <w:uiPriority w:val="9"/>
    <w:qFormat/>
    <w:rsid w:val="00E519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283A"/>
    <w:rPr>
      <w:color w:val="0000FF"/>
      <w:u w:val="single"/>
    </w:rPr>
  </w:style>
  <w:style w:type="paragraph" w:customStyle="1" w:styleId="Styl">
    <w:name w:val="Styl"/>
    <w:rsid w:val="0012510E"/>
    <w:pPr>
      <w:widowControl w:val="0"/>
      <w:spacing w:after="0" w:line="240" w:lineRule="auto"/>
    </w:pPr>
    <w:rPr>
      <w:rFonts w:ascii="Calibri" w:eastAsia="Times New Roman" w:hAnsi="Calibri" w:cs="Times New Roman"/>
      <w:sz w:val="24"/>
      <w:szCs w:val="20"/>
      <w:lang w:eastAsia="pl-PL"/>
    </w:rPr>
  </w:style>
  <w:style w:type="character" w:customStyle="1" w:styleId="note">
    <w:name w:val="note"/>
    <w:basedOn w:val="Domylnaczcionkaakapitu"/>
    <w:rsid w:val="00E51965"/>
  </w:style>
  <w:style w:type="character" w:customStyle="1" w:styleId="Nagwek2Znak">
    <w:name w:val="Nagłówek 2 Znak"/>
    <w:basedOn w:val="Domylnaczcionkaakapitu"/>
    <w:link w:val="Nagwek2"/>
    <w:uiPriority w:val="9"/>
    <w:rsid w:val="00E5196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st">
    <w:name w:val="st"/>
    <w:basedOn w:val="Domylnaczcionkaakapitu"/>
    <w:rsid w:val="00914633"/>
  </w:style>
  <w:style w:type="character" w:styleId="Uwydatnienie">
    <w:name w:val="Emphasis"/>
    <w:basedOn w:val="Domylnaczcionkaakapitu"/>
    <w:uiPriority w:val="20"/>
    <w:qFormat/>
    <w:rsid w:val="00914633"/>
    <w:rPr>
      <w:i/>
      <w:iCs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4764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64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ja-JP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647"/>
    <w:rPr>
      <w:rFonts w:ascii="Calibri" w:eastAsia="MS Mincho" w:hAnsi="Calibri" w:cs="Times New Roman"/>
      <w:sz w:val="20"/>
      <w:szCs w:val="20"/>
      <w:lang w:eastAsia="ja-JP"/>
    </w:rPr>
  </w:style>
  <w:style w:type="character" w:styleId="Odwoanieprzypisudolnego">
    <w:name w:val="footnote reference"/>
    <w:uiPriority w:val="99"/>
    <w:semiHidden/>
    <w:unhideWhenUsed/>
    <w:rsid w:val="00574647"/>
    <w:rPr>
      <w:vertAlign w:val="superscript"/>
    </w:rPr>
  </w:style>
  <w:style w:type="character" w:customStyle="1" w:styleId="wrtext">
    <w:name w:val="wrtext"/>
    <w:rsid w:val="00574647"/>
  </w:style>
  <w:style w:type="character" w:styleId="Odwoaniedokomentarza">
    <w:name w:val="annotation reference"/>
    <w:basedOn w:val="Domylnaczcionkaakapitu"/>
    <w:uiPriority w:val="99"/>
    <w:semiHidden/>
    <w:unhideWhenUsed/>
    <w:rsid w:val="004A79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79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79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79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79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7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944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A02C3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ootnotedescription">
    <w:name w:val="footnote description"/>
    <w:next w:val="Normalny"/>
    <w:link w:val="footnotedescriptionChar"/>
    <w:hidden/>
    <w:rsid w:val="00C32B67"/>
    <w:pPr>
      <w:spacing w:after="0" w:line="250" w:lineRule="auto"/>
      <w:ind w:left="14" w:right="3"/>
      <w:jc w:val="both"/>
    </w:pPr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descriptionChar">
    <w:name w:val="footnote description Char"/>
    <w:link w:val="footnotedescription"/>
    <w:rsid w:val="00C32B67"/>
    <w:rPr>
      <w:rFonts w:ascii="Times New Roman" w:eastAsia="Times New Roman" w:hAnsi="Times New Roman" w:cs="Times New Roman"/>
      <w:color w:val="000000"/>
      <w:sz w:val="20"/>
      <w:lang w:eastAsia="pl-PL"/>
    </w:rPr>
  </w:style>
  <w:style w:type="character" w:customStyle="1" w:styleId="footnotemark">
    <w:name w:val="footnote mark"/>
    <w:hidden/>
    <w:rsid w:val="00C32B67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1">
    <w:name w:val="TableGrid1"/>
    <w:rsid w:val="00C32B67"/>
    <w:pPr>
      <w:spacing w:after="0" w:line="240" w:lineRule="auto"/>
    </w:pPr>
    <w:rPr>
      <w:rFonts w:eastAsia="Times New Roman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0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@um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zan@um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2655</Words>
  <Characters>15933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Mikołaja Kopernika w Toruniu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Kotłowska</dc:creator>
  <cp:lastModifiedBy>Dell</cp:lastModifiedBy>
  <cp:revision>2</cp:revision>
  <dcterms:created xsi:type="dcterms:W3CDTF">2023-10-01T17:56:00Z</dcterms:created>
  <dcterms:modified xsi:type="dcterms:W3CDTF">2023-10-01T17:56:00Z</dcterms:modified>
</cp:coreProperties>
</file>